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360" w:lineRule="exact"/>
        <w:jc w:val="center"/>
        <w:rPr>
          <w:rFonts w:eastAsia="黑体"/>
          <w:bCs w:val="0"/>
          <w:sz w:val="32"/>
          <w:szCs w:val="32"/>
        </w:rPr>
      </w:pPr>
      <w:r>
        <w:rPr>
          <w:rFonts w:eastAsia="黑体"/>
          <w:b w:val="0"/>
          <w:bCs w:val="0"/>
          <w:sz w:val="32"/>
          <w:szCs w:val="32"/>
          <w:lang w:val="en"/>
        </w:rPr>
        <w:t>Key Considerations for Formal Review for 2025 General Program Sponsored by Shenzhen Natural Science Foundation in Basic Research Fund</w:t>
      </w:r>
    </w:p>
    <w:p>
      <w:pPr>
        <w:rPr>
          <w:b/>
        </w:rPr>
      </w:pPr>
    </w:p>
    <w:tbl>
      <w:tblPr>
        <w:tblStyle w:val="9"/>
        <w:tblW w:w="1391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31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10" w:type="dxa"/>
            <w:vAlign w:val="center"/>
          </w:tcPr>
          <w:p>
            <w:pPr>
              <w:spacing w:line="288" w:lineRule="auto"/>
              <w:ind w:right="25" w:rightChars="12"/>
              <w:jc w:val="center"/>
              <w:rPr>
                <w:b/>
                <w:szCs w:val="21"/>
              </w:rPr>
            </w:pPr>
            <w:r>
              <w:rPr>
                <w:b/>
                <w:bCs/>
                <w:szCs w:val="21"/>
                <w:lang w:val="en"/>
              </w:rPr>
              <w:t>SN</w:t>
            </w:r>
          </w:p>
        </w:tc>
        <w:tc>
          <w:tcPr>
            <w:tcW w:w="13107" w:type="dxa"/>
            <w:vAlign w:val="center"/>
          </w:tcPr>
          <w:p>
            <w:pPr>
              <w:snapToGrid w:val="0"/>
              <w:spacing w:line="288" w:lineRule="auto"/>
              <w:ind w:right="25" w:rightChars="12"/>
              <w:jc w:val="center"/>
              <w:rPr>
                <w:b/>
                <w:szCs w:val="21"/>
              </w:rPr>
            </w:pPr>
            <w:r>
              <w:rPr>
                <w:b/>
                <w:bCs/>
                <w:szCs w:val="21"/>
                <w:lang w:val="en"/>
              </w:rPr>
              <w:t>Key Considerations for Review</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72" w:hRule="atLeast"/>
          <w:jc w:val="center"/>
        </w:trPr>
        <w:tc>
          <w:tcPr>
            <w:tcW w:w="810" w:type="dxa"/>
            <w:vAlign w:val="center"/>
          </w:tcPr>
          <w:p>
            <w:pPr>
              <w:spacing w:line="288" w:lineRule="auto"/>
              <w:ind w:right="25" w:rightChars="12"/>
              <w:jc w:val="center"/>
              <w:rPr>
                <w:szCs w:val="21"/>
              </w:rPr>
            </w:pPr>
            <w:r>
              <w:rPr>
                <w:szCs w:val="21"/>
                <w:lang w:val="en"/>
              </w:rPr>
              <w:t>1</w:t>
            </w:r>
          </w:p>
        </w:tc>
        <w:tc>
          <w:tcPr>
            <w:tcW w:w="13107" w:type="dxa"/>
            <w:vAlign w:val="center"/>
          </w:tcPr>
          <w:p>
            <w:pPr>
              <w:snapToGrid w:val="0"/>
              <w:spacing w:line="288" w:lineRule="auto"/>
              <w:ind w:right="25" w:rightChars="12"/>
              <w:jc w:val="left"/>
              <w:rPr>
                <w:szCs w:val="21"/>
              </w:rPr>
            </w:pPr>
            <w:r>
              <w:rPr>
                <w:b/>
                <w:bCs/>
                <w:szCs w:val="21"/>
                <w:lang w:val="en"/>
              </w:rPr>
              <w:t xml:space="preserve">The applicant organization </w:t>
            </w:r>
            <w:r>
              <w:rPr>
                <w:szCs w:val="21"/>
                <w:lang w:val="en"/>
              </w:rPr>
              <w:t xml:space="preserve">(leading applicant organization) </w:t>
            </w:r>
            <w:r>
              <w:rPr>
                <w:b/>
                <w:bCs/>
                <w:szCs w:val="21"/>
                <w:lang w:val="en"/>
              </w:rPr>
              <w:t xml:space="preserve">shall meet the following </w:t>
            </w:r>
            <w:r>
              <w:rPr>
                <w:szCs w:val="21"/>
                <w:lang w:val="en"/>
              </w:rPr>
              <w:t>conditions:</w:t>
            </w:r>
          </w:p>
          <w:p>
            <w:pPr>
              <w:snapToGrid w:val="0"/>
              <w:spacing w:line="288" w:lineRule="auto"/>
              <w:ind w:right="25" w:rightChars="12" w:firstLine="420" w:firstLineChars="200"/>
              <w:jc w:val="left"/>
              <w:rPr>
                <w:szCs w:val="21"/>
              </w:rPr>
            </w:pPr>
            <w:r>
              <w:rPr>
                <w:szCs w:val="21"/>
                <w:lang w:val="en"/>
              </w:rPr>
              <w:t xml:space="preserve">Institutions registered in Shenzhen or the Shenshan Special Cooperation Zone with independent legal status, including universities, research institutes, healthcare institutions, and other enterprises </w:t>
            </w:r>
            <w:r>
              <w:rPr>
                <w:kern w:val="0"/>
                <w:szCs w:val="32"/>
                <w:lang w:val="en"/>
              </w:rPr>
              <w:t>(e.g., key laboratories approved to be built by national, provincial, or municipal science and technology authorities)</w:t>
            </w:r>
            <w:r>
              <w:rPr>
                <w:szCs w:val="21"/>
                <w:lang w:val="en"/>
              </w:rPr>
              <w:t>, or social organizations with basic research capabilities, as well as other entities approved by the municipal government.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89" w:hRule="atLeast"/>
          <w:jc w:val="center"/>
        </w:trPr>
        <w:tc>
          <w:tcPr>
            <w:tcW w:w="810" w:type="dxa"/>
            <w:vAlign w:val="center"/>
          </w:tcPr>
          <w:p>
            <w:pPr>
              <w:spacing w:line="288" w:lineRule="auto"/>
              <w:ind w:right="25" w:rightChars="12"/>
              <w:jc w:val="center"/>
              <w:rPr>
                <w:szCs w:val="21"/>
              </w:rPr>
            </w:pPr>
            <w:r>
              <w:rPr>
                <w:szCs w:val="21"/>
                <w:lang w:val="en"/>
              </w:rPr>
              <w:t>2</w:t>
            </w:r>
          </w:p>
        </w:tc>
        <w:tc>
          <w:tcPr>
            <w:tcW w:w="13107" w:type="dxa"/>
            <w:vAlign w:val="center"/>
          </w:tcPr>
          <w:p>
            <w:pPr>
              <w:snapToGrid w:val="0"/>
              <w:spacing w:line="288" w:lineRule="auto"/>
              <w:ind w:right="25" w:rightChars="12"/>
              <w:jc w:val="left"/>
              <w:rPr>
                <w:szCs w:val="21"/>
              </w:rPr>
            </w:pPr>
            <w:r>
              <w:rPr>
                <w:b/>
                <w:bCs/>
                <w:szCs w:val="21"/>
                <w:lang w:val="en"/>
              </w:rPr>
              <w:t>The Project Leader</w:t>
            </w:r>
            <w:r>
              <w:rPr>
                <w:szCs w:val="21"/>
                <w:lang w:val="en"/>
              </w:rPr>
              <w:t xml:space="preserve"> shall be a full-time employee of the applicant organization, undertake substantial tasks in the project research, have experience in undertaking basic research projects or engaging in basic research work, and meet one of the following conditions:</w:t>
            </w:r>
          </w:p>
          <w:p>
            <w:pPr>
              <w:snapToGrid w:val="0"/>
              <w:spacing w:line="288" w:lineRule="auto"/>
              <w:ind w:right="25" w:rightChars="12" w:firstLine="420" w:firstLineChars="200"/>
              <w:jc w:val="left"/>
              <w:rPr>
                <w:szCs w:val="21"/>
              </w:rPr>
            </w:pPr>
            <w:r>
              <w:rPr>
                <w:szCs w:val="21"/>
                <w:lang w:val="en"/>
              </w:rPr>
              <w:t>1. Holds a senior professional title;</w:t>
            </w:r>
          </w:p>
          <w:p>
            <w:pPr>
              <w:snapToGrid w:val="0"/>
              <w:spacing w:line="288" w:lineRule="auto"/>
              <w:ind w:right="25" w:rightChars="12" w:firstLine="420" w:firstLineChars="200"/>
              <w:jc w:val="left"/>
              <w:rPr>
                <w:szCs w:val="21"/>
              </w:rPr>
            </w:pPr>
            <w:r>
              <w:rPr>
                <w:szCs w:val="21"/>
                <w:lang w:val="en"/>
              </w:rPr>
              <w:t>2. Holds a doctoral degree or is a current PhD student. PhD students applying are exempt from the requirement that the Project Leader shall be a full-time staff member of the applicant organization, provided that they obtain explicit consent from their supervisor (clearly specifying the identity of the Project Leader and the start and end dates of the doctoral study period, with confirmation that the dissertation content will not be directly used for this project application). The applicant organization shall coordinate and align the research timeline of the General Program project with the PhD student’s academic schedule to ensure the project is completed and accepted on schedule.</w:t>
            </w:r>
          </w:p>
          <w:p>
            <w:pPr>
              <w:snapToGrid w:val="0"/>
              <w:spacing w:line="288" w:lineRule="auto"/>
              <w:ind w:right="25" w:rightChars="12" w:firstLine="420" w:firstLineChars="200"/>
              <w:jc w:val="left"/>
              <w:rPr>
                <w:szCs w:val="21"/>
              </w:rPr>
            </w:pPr>
            <w:r>
              <w:rPr>
                <w:szCs w:val="21"/>
                <w:lang w:val="en"/>
              </w:rPr>
              <w:t>3. Holds an intermediate professional title or a master’s degree, and is recommended by two senior professionals in the same research field.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810" w:type="dxa"/>
            <w:vAlign w:val="center"/>
          </w:tcPr>
          <w:p>
            <w:pPr>
              <w:spacing w:line="288" w:lineRule="auto"/>
              <w:ind w:right="25" w:rightChars="12"/>
              <w:jc w:val="center"/>
              <w:rPr>
                <w:szCs w:val="21"/>
              </w:rPr>
            </w:pPr>
            <w:r>
              <w:rPr>
                <w:szCs w:val="21"/>
                <w:lang w:val="en"/>
              </w:rPr>
              <w:t>3</w:t>
            </w:r>
          </w:p>
        </w:tc>
        <w:tc>
          <w:tcPr>
            <w:tcW w:w="13107" w:type="dxa"/>
            <w:vAlign w:val="center"/>
          </w:tcPr>
          <w:p>
            <w:pPr>
              <w:snapToGrid w:val="0"/>
              <w:spacing w:line="288" w:lineRule="auto"/>
              <w:ind w:right="25" w:rightChars="12"/>
              <w:jc w:val="left"/>
              <w:rPr>
                <w:szCs w:val="21"/>
              </w:rPr>
            </w:pPr>
            <w:r>
              <w:rPr>
                <w:b/>
                <w:bCs/>
                <w:szCs w:val="21"/>
                <w:lang w:val="en"/>
              </w:rPr>
              <w:t>Collaborating Institutions and Researchers:</w:t>
            </w:r>
            <w:r>
              <w:rPr>
                <w:szCs w:val="21"/>
                <w:lang w:val="en"/>
              </w:rPr>
              <w:t xml:space="preserve"> The project team (including the Project Leader) may consist of no more than five members (students are excluded but may be included in the basic information section for statistical purposes). If a team member’s organization is not the applicant organization, it is considered a collaborating institution, and the individual is deemed a collaborating researcher. Collaborating institutions and their researchers shall meet the following criteria:</w:t>
            </w:r>
          </w:p>
          <w:p>
            <w:pPr>
              <w:snapToGrid w:val="0"/>
              <w:spacing w:line="288" w:lineRule="auto"/>
              <w:ind w:right="25" w:rightChars="12" w:firstLine="420" w:firstLineChars="200"/>
              <w:jc w:val="left"/>
              <w:rPr>
                <w:szCs w:val="21"/>
              </w:rPr>
            </w:pPr>
            <w:r>
              <w:rPr>
                <w:szCs w:val="21"/>
                <w:lang w:val="en"/>
              </w:rPr>
              <w:t>1. Collaborating institutions shall have independent legal status, limited to one organization; the number of collaborating researchers shall not exceed that of the applicant organization.</w:t>
            </w:r>
          </w:p>
          <w:p>
            <w:pPr>
              <w:snapToGrid w:val="0"/>
              <w:spacing w:line="288" w:lineRule="auto"/>
              <w:ind w:right="25" w:rightChars="12" w:firstLine="420" w:firstLineChars="200"/>
              <w:jc w:val="left"/>
              <w:rPr>
                <w:szCs w:val="21"/>
              </w:rPr>
            </w:pPr>
            <w:r>
              <w:rPr>
                <w:szCs w:val="21"/>
                <w:lang w:val="en"/>
              </w:rPr>
              <w:t>2. The application shall include the name of the collaborating institution and a signed cooperation agreement outlining main responsibilities, funding allocation, and intellectual property ownership (foreign partners are not eligible for fiscal funding). The applicant organization shall undertake the majority of R&amp;D tasks, and the allocated fiscal funding shall be greater than that of the collaborating institution.</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10" w:type="dxa"/>
            <w:vAlign w:val="center"/>
          </w:tcPr>
          <w:p>
            <w:pPr>
              <w:spacing w:line="288" w:lineRule="auto"/>
              <w:ind w:right="25" w:rightChars="12"/>
              <w:jc w:val="center"/>
              <w:rPr>
                <w:szCs w:val="21"/>
              </w:rPr>
            </w:pPr>
            <w:r>
              <w:rPr>
                <w:szCs w:val="21"/>
                <w:lang w:val="en"/>
              </w:rPr>
              <w:t>4</w:t>
            </w:r>
          </w:p>
        </w:tc>
        <w:tc>
          <w:tcPr>
            <w:tcW w:w="13107" w:type="dxa"/>
            <w:vAlign w:val="center"/>
          </w:tcPr>
          <w:p>
            <w:pPr>
              <w:snapToGrid w:val="0"/>
              <w:spacing w:line="288" w:lineRule="auto"/>
              <w:ind w:right="25" w:rightChars="12"/>
              <w:jc w:val="left"/>
              <w:rPr>
                <w:spacing w:val="-2"/>
                <w:szCs w:val="21"/>
              </w:rPr>
            </w:pPr>
            <w:r>
              <w:rPr>
                <w:b/>
                <w:bCs/>
                <w:szCs w:val="21"/>
                <w:lang w:val="en"/>
              </w:rPr>
              <w:t>Where the applicant or collaborating institution is an enterprise</w:t>
            </w:r>
            <w:r>
              <w:rPr>
                <w:szCs w:val="21"/>
                <w:lang w:val="en"/>
              </w:rPr>
              <w:t>, it shall submit a Letter of Commitment for Self-Raised Funds, undertaking to provide self-raised funding no less than the amount of municipal financial support allocated to the enterprise for this project.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13" w:hRule="atLeast"/>
          <w:jc w:val="center"/>
        </w:trPr>
        <w:tc>
          <w:tcPr>
            <w:tcW w:w="810" w:type="dxa"/>
            <w:vAlign w:val="center"/>
          </w:tcPr>
          <w:p>
            <w:pPr>
              <w:spacing w:line="288" w:lineRule="auto"/>
              <w:ind w:right="25" w:rightChars="12"/>
              <w:jc w:val="center"/>
              <w:rPr>
                <w:szCs w:val="21"/>
              </w:rPr>
            </w:pPr>
            <w:r>
              <w:rPr>
                <w:szCs w:val="21"/>
                <w:lang w:val="en"/>
              </w:rPr>
              <w:t>5</w:t>
            </w:r>
          </w:p>
        </w:tc>
        <w:tc>
          <w:tcPr>
            <w:tcW w:w="13107" w:type="dxa"/>
            <w:vAlign w:val="center"/>
          </w:tcPr>
          <w:p>
            <w:pPr>
              <w:snapToGrid w:val="0"/>
              <w:spacing w:line="288" w:lineRule="auto"/>
              <w:ind w:right="25" w:rightChars="12"/>
              <w:jc w:val="left"/>
              <w:rPr>
                <w:spacing w:val="-2"/>
                <w:szCs w:val="21"/>
              </w:rPr>
            </w:pPr>
            <w:r>
              <w:rPr>
                <w:b/>
                <w:bCs/>
                <w:szCs w:val="21"/>
                <w:lang w:val="en"/>
              </w:rPr>
              <w:t>Scientific Integrity, Ethics, and Safety Requirements:</w:t>
            </w:r>
            <w:r>
              <w:rPr>
                <w:szCs w:val="21"/>
                <w:lang w:val="en"/>
              </w:rPr>
              <w:t xml:space="preserve"> The applicant organization, collaborating institution(s), project leader, and all project team members shall not be subject to any disciplinary restrictions prohibiting application for fiscal-funded projects. Furthermore, no project team member (including the project leader) may be listed on Science, Technology and Innovation Bureau of Shenzhen Municipality’s non-compliance registry for project acceptance. Additionally, the applicant organization shall not have any outstanding obligations to return fiscal funds within stipulated timeframes. For projects involving science and technology ethics and safety (such as clinical, biological, information, ecological, etc.), the applicant organization and collaborating institutions shall comply with relevant national laws, regulations, and ethical guidelines. For projects involving ethics and science safety (e.g., clinical, biological, information, ecological), both the applicant and collaborating institution shall comply with national laws and ethical standards.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810" w:type="dxa"/>
            <w:vAlign w:val="center"/>
          </w:tcPr>
          <w:p>
            <w:pPr>
              <w:spacing w:line="288" w:lineRule="auto"/>
              <w:ind w:right="25" w:rightChars="12"/>
              <w:jc w:val="center"/>
              <w:rPr>
                <w:szCs w:val="21"/>
              </w:rPr>
            </w:pPr>
            <w:r>
              <w:rPr>
                <w:szCs w:val="21"/>
                <w:lang w:val="en"/>
              </w:rPr>
              <w:t>6</w:t>
            </w:r>
          </w:p>
        </w:tc>
        <w:tc>
          <w:tcPr>
            <w:tcW w:w="13107" w:type="dxa"/>
            <w:vAlign w:val="center"/>
          </w:tcPr>
          <w:p>
            <w:pPr>
              <w:snapToGrid w:val="0"/>
              <w:spacing w:line="288" w:lineRule="auto"/>
              <w:ind w:right="25" w:rightChars="12"/>
              <w:jc w:val="left"/>
              <w:rPr>
                <w:spacing w:val="-2"/>
                <w:szCs w:val="21"/>
              </w:rPr>
            </w:pPr>
            <w:r>
              <w:rPr>
                <w:rFonts w:hint="eastAsia"/>
                <w:spacing w:val="-2"/>
                <w:szCs w:val="21"/>
              </w:rPr>
              <w:t>Concurrent applications or repeated applications are not allowed for the same program.</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7" w:hRule="atLeast"/>
          <w:jc w:val="center"/>
        </w:trPr>
        <w:tc>
          <w:tcPr>
            <w:tcW w:w="810" w:type="dxa"/>
            <w:vAlign w:val="center"/>
          </w:tcPr>
          <w:p>
            <w:pPr>
              <w:spacing w:line="288" w:lineRule="auto"/>
              <w:ind w:right="25" w:rightChars="12"/>
              <w:jc w:val="center"/>
              <w:rPr>
                <w:szCs w:val="21"/>
              </w:rPr>
            </w:pPr>
            <w:r>
              <w:rPr>
                <w:szCs w:val="21"/>
                <w:lang w:val="en"/>
              </w:rPr>
              <w:t>7</w:t>
            </w:r>
          </w:p>
        </w:tc>
        <w:tc>
          <w:tcPr>
            <w:tcW w:w="13107" w:type="dxa"/>
            <w:vAlign w:val="center"/>
          </w:tcPr>
          <w:p>
            <w:pPr>
              <w:snapToGrid w:val="0"/>
              <w:spacing w:line="288" w:lineRule="auto"/>
              <w:ind w:right="25" w:rightChars="12"/>
              <w:jc w:val="left"/>
              <w:rPr>
                <w:spacing w:val="-2"/>
                <w:szCs w:val="21"/>
              </w:rPr>
            </w:pPr>
            <w:r>
              <w:rPr>
                <w:szCs w:val="21"/>
                <w:lang w:val="en"/>
              </w:rPr>
              <w:t>Application Quota Rules: The 2025 General Program Sponsored by Shenzhen Natural Science Foundation in Basic Research Fund implements application quota rules. The requirements are as follows:</w:t>
            </w:r>
          </w:p>
          <w:p>
            <w:pPr>
              <w:snapToGrid w:val="0"/>
              <w:spacing w:line="288" w:lineRule="auto"/>
              <w:ind w:right="25" w:rightChars="12" w:firstLine="420" w:firstLineChars="200"/>
              <w:jc w:val="left"/>
              <w:rPr>
                <w:szCs w:val="21"/>
              </w:rPr>
            </w:pPr>
            <w:r>
              <w:rPr>
                <w:szCs w:val="21"/>
                <w:lang w:val="en"/>
              </w:rPr>
              <w:t>1. Full-time personnel from non-enterprise institutions may apply as Project Leader for only one project per year under the General Program, Key Program, Major Program, or Category-C Youth Program of the Natural Science Foundation. The total number of municipal-level science and technology projects (excluding platform carriers, post-subsidy types, and projects already submitted for acceptance) that a project team member (including the Project Leader) may apply for or undertake (as PI or participant) is limited to three.</w:t>
            </w:r>
          </w:p>
          <w:p>
            <w:pPr>
              <w:snapToGrid w:val="0"/>
              <w:spacing w:line="288" w:lineRule="auto"/>
              <w:ind w:right="25" w:rightChars="12" w:firstLine="420" w:firstLineChars="200"/>
              <w:jc w:val="left"/>
            </w:pPr>
            <w:r>
              <w:rPr>
                <w:szCs w:val="21"/>
                <w:lang w:val="en"/>
              </w:rPr>
              <w:t>2. Enterprises may apply for only one project per year under the General, Key, Major Programs, or Category-C Youth Program of the Natural Science Foundation. Similarly, enterprise project applications and ongoing municipal-level projects (excluding platform carriers, post-subsidy types, and projects already submitted for acceptance) shall not exceed three in total.</w:t>
            </w:r>
          </w:p>
          <w:p>
            <w:pPr>
              <w:snapToGrid w:val="0"/>
              <w:spacing w:line="288" w:lineRule="auto"/>
              <w:ind w:right="25" w:rightChars="12" w:firstLine="420" w:firstLineChars="200"/>
              <w:jc w:val="left"/>
              <w:rPr>
                <w:spacing w:val="-2"/>
                <w:szCs w:val="21"/>
              </w:rPr>
            </w:pPr>
            <w:r>
              <w:rPr>
                <w:szCs w:val="21"/>
                <w:lang w:val="en"/>
              </w:rPr>
              <w:t>3. Applications for basic research projects shall not duplicate any approved national, provincial, or municipal science and technology plans or Natural Science Foundation projects.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810" w:type="dxa"/>
            <w:vAlign w:val="center"/>
          </w:tcPr>
          <w:p>
            <w:pPr>
              <w:spacing w:line="288" w:lineRule="auto"/>
              <w:ind w:right="25" w:rightChars="12"/>
              <w:jc w:val="center"/>
              <w:rPr>
                <w:szCs w:val="21"/>
              </w:rPr>
            </w:pPr>
            <w:r>
              <w:rPr>
                <w:szCs w:val="21"/>
                <w:lang w:val="en"/>
              </w:rPr>
              <w:t>8</w:t>
            </w:r>
          </w:p>
        </w:tc>
        <w:tc>
          <w:tcPr>
            <w:tcW w:w="13107" w:type="dxa"/>
            <w:vAlign w:val="center"/>
          </w:tcPr>
          <w:p>
            <w:pPr>
              <w:snapToGrid w:val="0"/>
              <w:spacing w:line="288" w:lineRule="auto"/>
              <w:ind w:right="25" w:rightChars="12"/>
              <w:jc w:val="left"/>
              <w:rPr>
                <w:szCs w:val="21"/>
              </w:rPr>
            </w:pPr>
            <w:r>
              <w:rPr>
                <w:szCs w:val="21"/>
                <w:lang w:val="en"/>
              </w:rPr>
              <w:t>Application Materials: The required attachment materials for the application project shall be complete and legally compliant.</w:t>
            </w:r>
          </w:p>
          <w:p>
            <w:pPr>
              <w:snapToGrid w:val="0"/>
              <w:spacing w:line="288" w:lineRule="auto"/>
              <w:ind w:right="25" w:rightChars="12"/>
              <w:jc w:val="left"/>
              <w:rPr>
                <w:szCs w:val="21"/>
              </w:rPr>
            </w:pPr>
            <w:r>
              <w:rPr>
                <w:szCs w:val="21"/>
                <w:lang w:val="en"/>
              </w:rPr>
              <w:t>(</w:t>
            </w:r>
            <w:r>
              <w:rPr>
                <w:rFonts w:hint="eastAsia"/>
                <w:szCs w:val="21"/>
                <w:lang w:val="en"/>
              </w:rPr>
              <w:t>I</w:t>
            </w:r>
            <w:r>
              <w:rPr>
                <w:szCs w:val="21"/>
                <w:lang w:val="en"/>
              </w:rPr>
              <w:t>) Copy of the 2024 tax payment certificate and the previous year’s audit report (with a QR-coded cover page filed via the unified regulatory platform for certified public accountants; not applicable to public institutions). If the 2024 audit report is not completed, a copy of the 2023 audit report shall be submitted.</w:t>
            </w:r>
          </w:p>
          <w:p>
            <w:pPr>
              <w:snapToGrid w:val="0"/>
              <w:spacing w:line="288" w:lineRule="auto"/>
              <w:ind w:right="25" w:rightChars="12"/>
              <w:jc w:val="left"/>
              <w:rPr>
                <w:szCs w:val="21"/>
              </w:rPr>
            </w:pPr>
            <w:r>
              <w:rPr>
                <w:szCs w:val="21"/>
                <w:lang w:val="en"/>
              </w:rPr>
              <w:t>(</w:t>
            </w:r>
            <w:r>
              <w:rPr>
                <w:rFonts w:hint="eastAsia"/>
                <w:szCs w:val="21"/>
                <w:lang w:val="en"/>
              </w:rPr>
              <w:t>II</w:t>
            </w:r>
            <w:r>
              <w:rPr>
                <w:szCs w:val="21"/>
                <w:lang w:val="en"/>
              </w:rPr>
              <w:t>) Origin of commitment letter.</w:t>
            </w:r>
          </w:p>
          <w:p>
            <w:pPr>
              <w:snapToGrid w:val="0"/>
              <w:spacing w:line="288" w:lineRule="auto"/>
              <w:ind w:right="25" w:rightChars="12"/>
              <w:jc w:val="left"/>
              <w:rPr>
                <w:szCs w:val="21"/>
              </w:rPr>
            </w:pPr>
            <w:r>
              <w:rPr>
                <w:szCs w:val="21"/>
                <w:lang w:val="en"/>
              </w:rPr>
              <w:t>(</w:t>
            </w:r>
            <w:r>
              <w:rPr>
                <w:rFonts w:hint="eastAsia"/>
                <w:szCs w:val="21"/>
                <w:lang w:val="en"/>
              </w:rPr>
              <w:t>III</w:t>
            </w:r>
            <w:r>
              <w:rPr>
                <w:szCs w:val="21"/>
                <w:lang w:val="en"/>
              </w:rPr>
              <w:t>) Degree or title proof for the Project Leader (one of the following):</w:t>
            </w:r>
          </w:p>
          <w:p>
            <w:pPr>
              <w:snapToGrid w:val="0"/>
              <w:spacing w:line="288" w:lineRule="auto"/>
              <w:ind w:right="25" w:rightChars="12"/>
              <w:jc w:val="left"/>
              <w:rPr>
                <w:szCs w:val="21"/>
              </w:rPr>
            </w:pPr>
            <w:r>
              <w:rPr>
                <w:szCs w:val="21"/>
                <w:lang w:val="en"/>
              </w:rPr>
              <w:t>1. A doctoral degree certificate; for current PhD students, provide the China Higher Education Student Information (CHSI) (https://www.chsi.com.cn) enrollment record. If no student status certification is available, or if the certification does not indicate enrollment at a Shenzhen-based university, an official enrollment certificate issued by the university’s academic affairs office or graduate school (with the official seal of the academic affairs office or graduate school) shall also be provided</w:t>
            </w:r>
          </w:p>
          <w:p>
            <w:pPr>
              <w:snapToGrid w:val="0"/>
              <w:spacing w:line="288" w:lineRule="auto"/>
              <w:ind w:right="25" w:rightChars="12"/>
              <w:jc w:val="left"/>
              <w:rPr>
                <w:szCs w:val="21"/>
              </w:rPr>
            </w:pPr>
            <w:r>
              <w:rPr>
                <w:szCs w:val="21"/>
                <w:lang w:val="en"/>
              </w:rPr>
              <w:t>2. A senior professional title certificate;</w:t>
            </w:r>
          </w:p>
          <w:p>
            <w:pPr>
              <w:snapToGrid w:val="0"/>
              <w:spacing w:line="288" w:lineRule="auto"/>
              <w:ind w:right="25" w:rightChars="12"/>
              <w:jc w:val="left"/>
              <w:rPr>
                <w:szCs w:val="21"/>
              </w:rPr>
            </w:pPr>
            <w:r>
              <w:rPr>
                <w:szCs w:val="21"/>
                <w:lang w:val="en"/>
              </w:rPr>
              <w:t>3. A master’s degree certificate along with two recommendation letters from senior scientific and technical personnel (holding senior professional titles) in the same research field;</w:t>
            </w:r>
          </w:p>
          <w:p>
            <w:pPr>
              <w:snapToGrid w:val="0"/>
              <w:spacing w:line="288" w:lineRule="auto"/>
              <w:ind w:right="25" w:rightChars="12"/>
              <w:jc w:val="left"/>
              <w:rPr>
                <w:szCs w:val="21"/>
              </w:rPr>
            </w:pPr>
            <w:r>
              <w:rPr>
                <w:szCs w:val="21"/>
                <w:lang w:val="en"/>
              </w:rPr>
              <w:t>4. An intermediate professional title certificate along with two recommendation letters from senior scientific and technical personnel (holding senior professional titles) in the same research field.</w:t>
            </w:r>
          </w:p>
          <w:p>
            <w:pPr>
              <w:snapToGrid w:val="0"/>
              <w:spacing w:line="288" w:lineRule="auto"/>
              <w:ind w:right="25" w:rightChars="12"/>
              <w:jc w:val="left"/>
              <w:rPr>
                <w:szCs w:val="21"/>
              </w:rPr>
            </w:pPr>
            <w:r>
              <w:rPr>
                <w:szCs w:val="21"/>
                <w:lang w:val="en"/>
              </w:rPr>
              <w:t>(</w:t>
            </w:r>
            <w:r>
              <w:rPr>
                <w:rFonts w:hint="eastAsia"/>
                <w:szCs w:val="21"/>
                <w:lang w:val="en"/>
              </w:rPr>
              <w:t>IV</w:t>
            </w:r>
            <w:r>
              <w:rPr>
                <w:szCs w:val="21"/>
                <w:lang w:val="en"/>
              </w:rPr>
              <w:t>) Copy of the signed labor contract between the Project Leader (not required for current PhD students) and their employers (within the validity period and sealed with the official stamp of the employer or the special seal of the HR department).</w:t>
            </w:r>
          </w:p>
          <w:p>
            <w:pPr>
              <w:snapToGrid w:val="0"/>
              <w:spacing w:line="288" w:lineRule="auto"/>
              <w:ind w:right="25" w:rightChars="12"/>
              <w:jc w:val="left"/>
              <w:rPr>
                <w:szCs w:val="21"/>
              </w:rPr>
            </w:pPr>
            <w:r>
              <w:rPr>
                <w:szCs w:val="21"/>
                <w:lang w:val="en"/>
              </w:rPr>
              <w:t>(</w:t>
            </w:r>
            <w:r>
              <w:rPr>
                <w:rFonts w:hint="eastAsia"/>
                <w:szCs w:val="21"/>
                <w:lang w:val="en"/>
              </w:rPr>
              <w:t>V</w:t>
            </w:r>
            <w:r>
              <w:rPr>
                <w:szCs w:val="21"/>
                <w:lang w:val="en"/>
              </w:rPr>
              <w:t>) Copy of the Project Leader’s personal tax certificate or Shenzhen social insurance payment record issued within the past three months prior to application deadline (not required for current PhD students). If personnel from higher education institutions established and approved according to national standards and approval procedures, either abroad or in Shenzhen, have not paid social security in Shenzhen, the human resources department of the applying institution must provide unified and sufficient materials to prove that the individual is employed full-time at the applying institution.</w:t>
            </w:r>
          </w:p>
          <w:p>
            <w:pPr>
              <w:snapToGrid w:val="0"/>
              <w:spacing w:line="288" w:lineRule="auto"/>
              <w:ind w:right="25" w:rightChars="12"/>
              <w:jc w:val="left"/>
              <w:rPr>
                <w:szCs w:val="21"/>
              </w:rPr>
            </w:pPr>
            <w:r>
              <w:rPr>
                <w:szCs w:val="21"/>
                <w:lang w:val="en"/>
              </w:rPr>
              <w:t>(</w:t>
            </w:r>
            <w:r>
              <w:rPr>
                <w:rFonts w:hint="eastAsia"/>
                <w:szCs w:val="21"/>
                <w:lang w:val="en"/>
              </w:rPr>
              <w:t>VI</w:t>
            </w:r>
            <w:r>
              <w:rPr>
                <w:szCs w:val="21"/>
                <w:lang w:val="en"/>
              </w:rPr>
              <w:t>) Copies of representative research achievements from recent three years (papers, monographs, patents, high-level talent certificates, awards, etc).</w:t>
            </w:r>
          </w:p>
          <w:p>
            <w:pPr>
              <w:snapToGrid w:val="0"/>
              <w:spacing w:line="288" w:lineRule="auto"/>
              <w:ind w:right="25" w:rightChars="12"/>
              <w:jc w:val="left"/>
              <w:rPr>
                <w:szCs w:val="21"/>
              </w:rPr>
            </w:pPr>
            <w:r>
              <w:rPr>
                <w:szCs w:val="21"/>
                <w:lang w:val="en"/>
              </w:rPr>
              <w:t>(</w:t>
            </w:r>
            <w:r>
              <w:rPr>
                <w:rFonts w:hint="eastAsia"/>
                <w:szCs w:val="21"/>
                <w:lang w:val="en"/>
              </w:rPr>
              <w:t>VII</w:t>
            </w:r>
            <w:r>
              <w:rPr>
                <w:szCs w:val="21"/>
                <w:lang w:val="en"/>
              </w:rPr>
              <w:t>) For projects with collaborators, a signed cooperation agreement with official seals from both parties shall be provided.</w:t>
            </w:r>
          </w:p>
          <w:p>
            <w:pPr>
              <w:snapToGrid w:val="0"/>
              <w:spacing w:line="288" w:lineRule="auto"/>
              <w:ind w:right="25" w:rightChars="12"/>
              <w:jc w:val="left"/>
              <w:rPr>
                <w:szCs w:val="21"/>
              </w:rPr>
            </w:pPr>
            <w:r>
              <w:rPr>
                <w:szCs w:val="21"/>
                <w:lang w:val="en"/>
              </w:rPr>
              <w:t>(</w:t>
            </w:r>
            <w:r>
              <w:rPr>
                <w:rFonts w:hint="eastAsia"/>
                <w:szCs w:val="21"/>
                <w:lang w:val="en"/>
              </w:rPr>
              <w:t>VIII</w:t>
            </w:r>
            <w:r>
              <w:rPr>
                <w:szCs w:val="21"/>
                <w:lang w:val="en"/>
              </w:rPr>
              <w:t>) Proof of research facilities and equipment at the applicant organization in Shenzhen (not required for universities or healthcare institutions).</w:t>
            </w:r>
          </w:p>
          <w:p>
            <w:pPr>
              <w:snapToGrid w:val="0"/>
              <w:spacing w:line="288" w:lineRule="auto"/>
              <w:ind w:right="25" w:rightChars="12"/>
              <w:jc w:val="left"/>
              <w:rPr>
                <w:szCs w:val="21"/>
              </w:rPr>
            </w:pPr>
            <w:r>
              <w:rPr>
                <w:szCs w:val="21"/>
                <w:lang w:val="en"/>
              </w:rPr>
              <w:t>(</w:t>
            </w:r>
            <w:r>
              <w:rPr>
                <w:rFonts w:hint="eastAsia"/>
                <w:szCs w:val="21"/>
                <w:lang w:val="en"/>
              </w:rPr>
              <w:t>IX</w:t>
            </w:r>
            <w:r>
              <w:rPr>
                <w:szCs w:val="21"/>
                <w:lang w:val="en"/>
              </w:rPr>
              <w:t>) For enterprise participants, a Letter of Commitment for Self-Raised Funds shall be submitted.</w:t>
            </w:r>
          </w:p>
          <w:p>
            <w:pPr>
              <w:snapToGrid w:val="0"/>
              <w:spacing w:line="288" w:lineRule="auto"/>
              <w:ind w:right="25" w:rightChars="12"/>
              <w:jc w:val="left"/>
            </w:pPr>
            <w:r>
              <w:rPr>
                <w:szCs w:val="21"/>
                <w:lang w:val="en"/>
              </w:rPr>
              <w:t>(</w:t>
            </w:r>
            <w:r>
              <w:rPr>
                <w:rFonts w:hint="eastAsia"/>
                <w:szCs w:val="21"/>
                <w:lang w:val="en"/>
              </w:rPr>
              <w:t>X</w:t>
            </w:r>
            <w:r>
              <w:rPr>
                <w:szCs w:val="21"/>
                <w:lang w:val="en"/>
              </w:rPr>
              <w:t>) Initial approval document from the Ethics Review Committee, or ethical review opinion for application use (required only for projects involving experimental animals, human biomedical research, or those potentially posing ethical risks to life, environment, public order, or sustainability).</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810" w:type="dxa"/>
            <w:vAlign w:val="center"/>
          </w:tcPr>
          <w:p>
            <w:pPr>
              <w:spacing w:line="288" w:lineRule="auto"/>
              <w:ind w:right="25" w:rightChars="12"/>
              <w:jc w:val="center"/>
              <w:rPr>
                <w:szCs w:val="21"/>
              </w:rPr>
            </w:pPr>
            <w:r>
              <w:rPr>
                <w:szCs w:val="21"/>
                <w:lang w:val="en"/>
              </w:rPr>
              <w:t>9</w:t>
            </w:r>
          </w:p>
        </w:tc>
        <w:tc>
          <w:tcPr>
            <w:tcW w:w="13107" w:type="dxa"/>
            <w:vAlign w:val="center"/>
          </w:tcPr>
          <w:p>
            <w:pPr>
              <w:snapToGrid w:val="0"/>
              <w:spacing w:line="288" w:lineRule="auto"/>
              <w:ind w:right="25" w:rightChars="12"/>
              <w:jc w:val="left"/>
              <w:rPr>
                <w:spacing w:val="-2"/>
                <w:szCs w:val="21"/>
              </w:rPr>
            </w:pPr>
            <w:r>
              <w:rPr>
                <w:b/>
                <w:bCs/>
                <w:szCs w:val="21"/>
                <w:lang w:val="en"/>
              </w:rPr>
              <w:t>Signed Scanned Copies:</w:t>
            </w:r>
            <w:r>
              <w:rPr>
                <w:szCs w:val="21"/>
                <w:lang w:val="en"/>
              </w:rPr>
              <w:t xml:space="preserve"> Seal and Signature</w:t>
            </w:r>
          </w:p>
        </w:tc>
      </w:tr>
    </w:tbl>
    <w:p>
      <w:pPr>
        <w:pStyle w:val="2"/>
        <w:keepNext w:val="0"/>
        <w:spacing w:line="20" w:lineRule="exact"/>
        <w:rPr>
          <w:vanish/>
        </w:rPr>
      </w:pPr>
    </w:p>
    <w:sectPr>
      <w:pgSz w:w="16838" w:h="11906" w:orient="landscape"/>
      <w:pgMar w:top="567" w:right="1474" w:bottom="56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