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0"/>
        <w:tblpPr w:leftFromText="180" w:rightFromText="180" w:vertAnchor="text" w:tblpX="-292" w:tblpY="1"/>
        <w:tblOverlap w:val="never"/>
        <w:tblW w:w="9631"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41"/>
        <w:gridCol w:w="1418"/>
        <w:gridCol w:w="1983"/>
        <w:gridCol w:w="1558"/>
        <w:gridCol w:w="3822"/>
        <w:gridCol w:w="9"/>
      </w:tblGrid>
      <w:tr w14:paraId="0596F89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9" w:type="dxa"/>
          <w:trHeight w:val="437" w:hRule="atLeast"/>
        </w:trPr>
        <w:tc>
          <w:tcPr>
            <w:tcW w:w="841" w:type="dxa"/>
            <w:vMerge w:val="restart"/>
            <w:vAlign w:val="center"/>
          </w:tcPr>
          <w:p w14:paraId="4C3983E2">
            <w:pPr>
              <w:ind w:left="-254" w:leftChars="-121" w:firstLine="276" w:firstLineChars="115"/>
              <w:rPr>
                <w:rFonts w:ascii="仿宋" w:hAnsi="仿宋" w:eastAsia="仿宋" w:cs="仿宋"/>
                <w:sz w:val="24"/>
              </w:rPr>
            </w:pPr>
          </w:p>
        </w:tc>
        <w:tc>
          <w:tcPr>
            <w:tcW w:w="1418" w:type="dxa"/>
            <w:vAlign w:val="center"/>
          </w:tcPr>
          <w:p w14:paraId="1CE48E6B">
            <w:pPr>
              <w:rPr>
                <w:rFonts w:ascii="仿宋" w:hAnsi="仿宋" w:eastAsia="仿宋" w:cs="仿宋"/>
                <w:sz w:val="24"/>
              </w:rPr>
            </w:pPr>
            <w:r>
              <w:rPr>
                <w:rFonts w:hint="eastAsia" w:ascii="仿宋" w:hAnsi="仿宋" w:eastAsia="仿宋" w:cs="仿宋"/>
                <w:sz w:val="24"/>
              </w:rPr>
              <w:t>电子资源名称（中文）</w:t>
            </w:r>
          </w:p>
        </w:tc>
        <w:tc>
          <w:tcPr>
            <w:tcW w:w="1983" w:type="dxa"/>
            <w:vAlign w:val="center"/>
          </w:tcPr>
          <w:p w14:paraId="6ECF639B">
            <w:pPr>
              <w:rPr>
                <w:rFonts w:ascii="仿宋" w:hAnsi="仿宋" w:eastAsia="仿宋" w:cs="仿宋"/>
                <w:sz w:val="24"/>
              </w:rPr>
            </w:pPr>
            <w:r>
              <w:rPr>
                <w:rFonts w:hint="eastAsia" w:ascii="仿宋" w:hAnsi="仿宋" w:eastAsia="仿宋" w:cs="仿宋"/>
                <w:sz w:val="24"/>
              </w:rPr>
              <w:t>书同文古籍数据库</w:t>
            </w:r>
          </w:p>
        </w:tc>
        <w:tc>
          <w:tcPr>
            <w:tcW w:w="1558" w:type="dxa"/>
            <w:vAlign w:val="center"/>
          </w:tcPr>
          <w:p w14:paraId="7ADB8F93">
            <w:pPr>
              <w:rPr>
                <w:rFonts w:ascii="仿宋" w:hAnsi="仿宋" w:eastAsia="仿宋" w:cs="仿宋"/>
                <w:sz w:val="24"/>
              </w:rPr>
            </w:pPr>
            <w:r>
              <w:rPr>
                <w:rFonts w:hint="eastAsia" w:ascii="仿宋" w:hAnsi="仿宋" w:eastAsia="仿宋" w:cs="仿宋"/>
                <w:sz w:val="24"/>
              </w:rPr>
              <w:t>电子资源名称（英文）</w:t>
            </w:r>
          </w:p>
        </w:tc>
        <w:tc>
          <w:tcPr>
            <w:tcW w:w="3822" w:type="dxa"/>
            <w:vAlign w:val="center"/>
          </w:tcPr>
          <w:p w14:paraId="78319D9E">
            <w:pPr>
              <w:rPr>
                <w:rFonts w:hint="eastAsia" w:ascii="仿宋" w:hAnsi="仿宋" w:eastAsia="仿宋" w:cs="仿宋"/>
                <w:sz w:val="24"/>
                <w:lang w:val="en-US" w:eastAsia="zh-CN"/>
              </w:rPr>
            </w:pPr>
            <w:r>
              <w:rPr>
                <w:rFonts w:hint="eastAsia" w:ascii="仿宋" w:hAnsi="仿宋" w:eastAsia="仿宋" w:cs="仿宋"/>
                <w:sz w:val="24"/>
                <w:lang w:val="en-US" w:eastAsia="zh-CN"/>
              </w:rPr>
              <w:t>/</w:t>
            </w:r>
          </w:p>
        </w:tc>
      </w:tr>
      <w:tr w14:paraId="16596EA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9" w:type="dxa"/>
          <w:trHeight w:val="437" w:hRule="atLeast"/>
        </w:trPr>
        <w:tc>
          <w:tcPr>
            <w:tcW w:w="841" w:type="dxa"/>
            <w:vMerge w:val="continue"/>
            <w:vAlign w:val="center"/>
          </w:tcPr>
          <w:p w14:paraId="72962871">
            <w:pPr>
              <w:ind w:left="-254" w:leftChars="-121" w:firstLine="276" w:firstLineChars="115"/>
              <w:rPr>
                <w:rFonts w:ascii="仿宋" w:hAnsi="仿宋" w:eastAsia="仿宋" w:cs="仿宋"/>
                <w:sz w:val="24"/>
              </w:rPr>
            </w:pPr>
          </w:p>
        </w:tc>
        <w:tc>
          <w:tcPr>
            <w:tcW w:w="1418" w:type="dxa"/>
            <w:vAlign w:val="center"/>
          </w:tcPr>
          <w:p w14:paraId="54A144CB">
            <w:pPr>
              <w:rPr>
                <w:rFonts w:ascii="仿宋" w:hAnsi="仿宋" w:eastAsia="仿宋" w:cs="仿宋"/>
                <w:sz w:val="24"/>
              </w:rPr>
            </w:pPr>
            <w:r>
              <w:rPr>
                <w:rFonts w:hint="eastAsia" w:ascii="仿宋" w:hAnsi="仿宋" w:eastAsia="仿宋" w:cs="仿宋"/>
                <w:sz w:val="24"/>
              </w:rPr>
              <w:t>预算金额（最高限价）</w:t>
            </w:r>
          </w:p>
        </w:tc>
        <w:tc>
          <w:tcPr>
            <w:tcW w:w="1983" w:type="dxa"/>
            <w:vAlign w:val="center"/>
          </w:tcPr>
          <w:p w14:paraId="1AEE4779">
            <w:pPr>
              <w:rPr>
                <w:rFonts w:hint="default" w:ascii="仿宋" w:hAnsi="仿宋" w:eastAsia="仿宋" w:cs="仿宋"/>
                <w:sz w:val="24"/>
                <w:lang w:val="en-US" w:eastAsia="zh-CN"/>
              </w:rPr>
            </w:pPr>
            <w:r>
              <w:rPr>
                <w:rFonts w:hint="eastAsia" w:ascii="仿宋" w:hAnsi="仿宋" w:eastAsia="仿宋" w:cs="仿宋"/>
                <w:sz w:val="24"/>
                <w:lang w:val="en-US" w:eastAsia="zh-CN"/>
              </w:rPr>
              <w:t>35.6万</w:t>
            </w:r>
          </w:p>
        </w:tc>
        <w:tc>
          <w:tcPr>
            <w:tcW w:w="1558" w:type="dxa"/>
            <w:vAlign w:val="center"/>
          </w:tcPr>
          <w:p w14:paraId="0220C4C0">
            <w:pPr>
              <w:rPr>
                <w:rFonts w:hint="default" w:ascii="仿宋" w:hAnsi="仿宋" w:eastAsia="仿宋" w:cs="仿宋"/>
                <w:sz w:val="24"/>
                <w:lang w:val="en-US" w:eastAsia="zh-CN"/>
              </w:rPr>
            </w:pPr>
            <w:r>
              <w:rPr>
                <w:rFonts w:hint="eastAsia" w:ascii="仿宋" w:hAnsi="仿宋" w:eastAsia="仿宋" w:cs="仿宋"/>
                <w:sz w:val="24"/>
                <w:lang w:val="en-US" w:eastAsia="zh-CN"/>
              </w:rPr>
              <w:t>论证编号</w:t>
            </w:r>
          </w:p>
        </w:tc>
        <w:tc>
          <w:tcPr>
            <w:tcW w:w="3822" w:type="dxa"/>
            <w:vAlign w:val="center"/>
          </w:tcPr>
          <w:p w14:paraId="5076FC88">
            <w:pPr>
              <w:rPr>
                <w:rFonts w:ascii="仿宋" w:hAnsi="仿宋" w:eastAsia="仿宋" w:cs="仿宋"/>
                <w:sz w:val="24"/>
              </w:rPr>
            </w:pPr>
            <w:r>
              <w:rPr>
                <w:rFonts w:hint="eastAsia" w:ascii="仿宋" w:hAnsi="仿宋" w:eastAsia="仿宋" w:cs="仿宋"/>
                <w:sz w:val="24"/>
              </w:rPr>
              <w:t>LZ202512003</w:t>
            </w:r>
          </w:p>
        </w:tc>
      </w:tr>
      <w:tr w14:paraId="017980B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9" w:type="dxa"/>
          <w:trHeight w:val="444" w:hRule="atLeast"/>
        </w:trPr>
        <w:tc>
          <w:tcPr>
            <w:tcW w:w="841" w:type="dxa"/>
            <w:vMerge w:val="continue"/>
            <w:vAlign w:val="center"/>
          </w:tcPr>
          <w:p w14:paraId="2355765A">
            <w:pPr>
              <w:rPr>
                <w:rFonts w:ascii="仿宋" w:hAnsi="仿宋" w:eastAsia="仿宋" w:cs="仿宋"/>
                <w:sz w:val="24"/>
              </w:rPr>
            </w:pPr>
          </w:p>
        </w:tc>
        <w:tc>
          <w:tcPr>
            <w:tcW w:w="1418" w:type="dxa"/>
            <w:tcBorders>
              <w:top w:val="single" w:color="auto" w:sz="4" w:space="0"/>
              <w:bottom w:val="single" w:color="auto" w:sz="4" w:space="0"/>
            </w:tcBorders>
            <w:vAlign w:val="center"/>
          </w:tcPr>
          <w:p w14:paraId="123A9AAA">
            <w:pPr>
              <w:rPr>
                <w:rFonts w:ascii="仿宋" w:hAnsi="仿宋" w:eastAsia="仿宋" w:cs="仿宋"/>
                <w:sz w:val="24"/>
              </w:rPr>
            </w:pPr>
            <w:r>
              <w:rPr>
                <w:rFonts w:hint="eastAsia" w:ascii="仿宋" w:hAnsi="仿宋" w:eastAsia="仿宋" w:cs="仿宋"/>
                <w:sz w:val="24"/>
              </w:rPr>
              <w:t>申请单一来源方式采购的理由</w:t>
            </w:r>
          </w:p>
        </w:tc>
        <w:tc>
          <w:tcPr>
            <w:tcW w:w="7363" w:type="dxa"/>
            <w:gridSpan w:val="3"/>
            <w:tcBorders>
              <w:top w:val="single" w:color="auto" w:sz="4" w:space="0"/>
              <w:bottom w:val="single" w:color="auto" w:sz="4" w:space="0"/>
            </w:tcBorders>
            <w:vAlign w:val="center"/>
          </w:tcPr>
          <w:p w14:paraId="6B1A75FF">
            <w:pPr>
              <w:rPr>
                <w:rFonts w:ascii="仿宋" w:hAnsi="仿宋" w:eastAsia="仿宋" w:cs="仿宋"/>
                <w:sz w:val="24"/>
              </w:rPr>
            </w:pPr>
            <w:r>
              <w:rPr>
                <w:rFonts w:hint="eastAsia" w:ascii="仿宋" w:hAnsi="仿宋" w:eastAsia="仿宋" w:cs="仿宋"/>
                <w:sz w:val="24"/>
              </w:rPr>
              <w:t>■</w:t>
            </w:r>
            <w:r>
              <w:rPr>
                <w:rFonts w:ascii="仿宋" w:hAnsi="仿宋" w:eastAsia="仿宋" w:cs="仿宋"/>
                <w:sz w:val="24"/>
              </w:rPr>
              <w:t>其他具有复杂性、专门性、特殊性的项目，且只有唯一供应商的。</w:t>
            </w:r>
          </w:p>
        </w:tc>
      </w:tr>
      <w:tr w14:paraId="47940F4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9" w:type="dxa"/>
          <w:trHeight w:val="444" w:hRule="atLeast"/>
        </w:trPr>
        <w:tc>
          <w:tcPr>
            <w:tcW w:w="841" w:type="dxa"/>
            <w:vMerge w:val="continue"/>
            <w:tcBorders>
              <w:bottom w:val="single" w:color="auto" w:sz="4" w:space="0"/>
            </w:tcBorders>
            <w:vAlign w:val="center"/>
          </w:tcPr>
          <w:p w14:paraId="3681F160">
            <w:pPr>
              <w:rPr>
                <w:rFonts w:ascii="仿宋" w:hAnsi="仿宋" w:eastAsia="仿宋" w:cs="仿宋"/>
                <w:sz w:val="24"/>
              </w:rPr>
            </w:pPr>
          </w:p>
        </w:tc>
        <w:tc>
          <w:tcPr>
            <w:tcW w:w="1418" w:type="dxa"/>
            <w:tcBorders>
              <w:top w:val="single" w:color="auto" w:sz="4" w:space="0"/>
              <w:bottom w:val="single" w:color="auto" w:sz="4" w:space="0"/>
            </w:tcBorders>
            <w:vAlign w:val="center"/>
          </w:tcPr>
          <w:p w14:paraId="6396C352">
            <w:pPr>
              <w:rPr>
                <w:rFonts w:ascii="仿宋" w:hAnsi="仿宋" w:eastAsia="仿宋" w:cs="仿宋"/>
                <w:sz w:val="24"/>
              </w:rPr>
            </w:pPr>
            <w:r>
              <w:rPr>
                <w:rFonts w:hint="eastAsia" w:ascii="仿宋" w:hAnsi="仿宋" w:eastAsia="仿宋" w:cs="仿宋"/>
                <w:sz w:val="24"/>
              </w:rPr>
              <w:t>厂商基本情况</w:t>
            </w:r>
          </w:p>
        </w:tc>
        <w:tc>
          <w:tcPr>
            <w:tcW w:w="7363" w:type="dxa"/>
            <w:gridSpan w:val="3"/>
            <w:tcBorders>
              <w:top w:val="single" w:color="auto" w:sz="4" w:space="0"/>
              <w:bottom w:val="single" w:color="auto" w:sz="4" w:space="0"/>
            </w:tcBorders>
            <w:vAlign w:val="center"/>
          </w:tcPr>
          <w:p w14:paraId="68E2F07E">
            <w:pPr>
              <w:rPr>
                <w:rFonts w:ascii="仿宋" w:hAnsi="仿宋" w:eastAsia="仿宋" w:cs="仿宋"/>
                <w:sz w:val="24"/>
              </w:rPr>
            </w:pPr>
            <w:r>
              <w:rPr>
                <w:rFonts w:hint="eastAsia" w:ascii="仿宋" w:hAnsi="仿宋" w:eastAsia="仿宋" w:cs="仿宋"/>
                <w:sz w:val="24"/>
              </w:rPr>
              <w:t>厂商名称：</w:t>
            </w:r>
            <w:r>
              <w:rPr>
                <w:rFonts w:ascii="仿宋" w:hAnsi="仿宋" w:eastAsia="仿宋" w:cs="仿宋"/>
                <w:sz w:val="24"/>
              </w:rPr>
              <w:t>北京书同文数字化技术有限公司</w:t>
            </w:r>
          </w:p>
          <w:p w14:paraId="706C1A77">
            <w:pPr>
              <w:rPr>
                <w:rFonts w:ascii="仿宋" w:hAnsi="仿宋" w:eastAsia="仿宋" w:cs="仿宋"/>
                <w:sz w:val="24"/>
              </w:rPr>
            </w:pPr>
            <w:r>
              <w:rPr>
                <w:rFonts w:hint="eastAsia" w:ascii="仿宋" w:hAnsi="仿宋" w:eastAsia="仿宋" w:cs="仿宋"/>
                <w:sz w:val="24"/>
              </w:rPr>
              <w:t>联系人：刘丹</w:t>
            </w:r>
          </w:p>
        </w:tc>
      </w:tr>
      <w:tr w14:paraId="42DBA88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9" w:type="dxa"/>
          <w:cantSplit/>
          <w:trHeight w:val="461" w:hRule="atLeast"/>
        </w:trPr>
        <w:tc>
          <w:tcPr>
            <w:tcW w:w="841" w:type="dxa"/>
            <w:vMerge w:val="continue"/>
            <w:tcBorders>
              <w:left w:val="single" w:color="auto" w:sz="2" w:space="0"/>
              <w:bottom w:val="single" w:color="auto" w:sz="4" w:space="0"/>
              <w:right w:val="single" w:color="auto" w:sz="2" w:space="0"/>
            </w:tcBorders>
            <w:textDirection w:val="tbRlV"/>
            <w:vAlign w:val="center"/>
          </w:tcPr>
          <w:p w14:paraId="7D57A639">
            <w:pPr>
              <w:ind w:left="113" w:right="113"/>
              <w:jc w:val="center"/>
              <w:rPr>
                <w:rFonts w:ascii="仿宋" w:hAnsi="仿宋" w:eastAsia="仿宋" w:cs="仿宋"/>
                <w:sz w:val="24"/>
              </w:rPr>
            </w:pPr>
            <w:bookmarkStart w:id="0" w:name="_GoBack"/>
            <w:bookmarkEnd w:id="0"/>
          </w:p>
        </w:tc>
        <w:tc>
          <w:tcPr>
            <w:tcW w:w="1418" w:type="dxa"/>
            <w:tcBorders>
              <w:top w:val="single" w:color="auto" w:sz="2" w:space="0"/>
              <w:left w:val="single" w:color="auto" w:sz="2" w:space="0"/>
              <w:bottom w:val="single" w:color="auto" w:sz="2" w:space="0"/>
              <w:right w:val="single" w:color="auto" w:sz="2" w:space="0"/>
            </w:tcBorders>
            <w:vAlign w:val="center"/>
          </w:tcPr>
          <w:p w14:paraId="203201F9">
            <w:pPr>
              <w:rPr>
                <w:rFonts w:ascii="仿宋" w:hAnsi="仿宋" w:eastAsia="仿宋" w:cs="仿宋"/>
                <w:sz w:val="24"/>
              </w:rPr>
            </w:pPr>
            <w:r>
              <w:rPr>
                <w:rFonts w:hint="eastAsia" w:ascii="仿宋" w:hAnsi="仿宋" w:eastAsia="仿宋" w:cs="仿宋"/>
                <w:sz w:val="24"/>
              </w:rPr>
              <w:t>服务说明</w:t>
            </w:r>
          </w:p>
        </w:tc>
        <w:tc>
          <w:tcPr>
            <w:tcW w:w="7363" w:type="dxa"/>
            <w:gridSpan w:val="3"/>
            <w:tcBorders>
              <w:top w:val="single" w:color="auto" w:sz="2" w:space="0"/>
              <w:left w:val="single" w:color="auto" w:sz="2" w:space="0"/>
              <w:bottom w:val="single" w:color="auto" w:sz="2" w:space="0"/>
              <w:right w:val="single" w:color="auto" w:sz="2" w:space="0"/>
            </w:tcBorders>
            <w:vAlign w:val="center"/>
          </w:tcPr>
          <w:p w14:paraId="449FEA95">
            <w:pPr>
              <w:rPr>
                <w:rFonts w:ascii="仿宋" w:hAnsi="仿宋" w:eastAsia="仿宋" w:cs="仿宋"/>
                <w:sz w:val="24"/>
              </w:rPr>
            </w:pPr>
            <w:r>
              <w:rPr>
                <w:rFonts w:hint="eastAsia" w:ascii="仿宋" w:hAnsi="仿宋" w:eastAsia="仿宋" w:cs="仿宋"/>
                <w:sz w:val="24"/>
              </w:rPr>
              <w:t>1.采购方在使用本系统过程中遇到产品技术性问题，供应商应提供相应的解决方案或提供技术咨询。主要解决方式是：电话、传真、电子邮件以及到现场提供技术支持（现场技术支持只限北京市），响应时间不超过24小时。</w:t>
            </w:r>
            <w:r>
              <w:rPr>
                <w:rFonts w:hint="eastAsia" w:ascii="仿宋" w:hAnsi="仿宋" w:eastAsia="仿宋" w:cs="仿宋"/>
                <w:sz w:val="24"/>
              </w:rPr>
              <w:br w:type="textWrapping"/>
            </w:r>
            <w:r>
              <w:rPr>
                <w:rFonts w:hint="eastAsia" w:ascii="仿宋" w:hAnsi="仿宋" w:eastAsia="仿宋" w:cs="仿宋"/>
                <w:sz w:val="24"/>
              </w:rPr>
              <w:t>2.供应商对本产品的售后提供永久免费技术支持以及数据库产品免费升级。</w:t>
            </w:r>
            <w:r>
              <w:rPr>
                <w:rFonts w:hint="eastAsia" w:ascii="仿宋" w:hAnsi="仿宋" w:eastAsia="仿宋" w:cs="仿宋"/>
                <w:sz w:val="24"/>
              </w:rPr>
              <w:br w:type="textWrapping"/>
            </w:r>
            <w:r>
              <w:rPr>
                <w:rFonts w:hint="eastAsia" w:ascii="仿宋" w:hAnsi="仿宋" w:eastAsia="仿宋" w:cs="仿宋"/>
                <w:sz w:val="24"/>
              </w:rPr>
              <w:t>3.远程访问网页形式仅提供采购方内部人员使用，不得向任何第三方泄露相关账户和密码。</w:t>
            </w:r>
            <w:r>
              <w:rPr>
                <w:rFonts w:hint="eastAsia" w:ascii="仿宋" w:hAnsi="仿宋" w:eastAsia="仿宋" w:cs="仿宋"/>
                <w:sz w:val="24"/>
              </w:rPr>
              <w:br w:type="textWrapping"/>
            </w:r>
            <w:r>
              <w:rPr>
                <w:rFonts w:hint="eastAsia" w:ascii="仿宋" w:hAnsi="仿宋" w:eastAsia="仿宋" w:cs="仿宋"/>
                <w:sz w:val="24"/>
              </w:rPr>
              <w:t>4.如有需要，供应商需根据采购方需求，负责本地镜像免费安装、调试数据库系统，保证系统软硬件正常运行。</w:t>
            </w:r>
            <w:r>
              <w:rPr>
                <w:rFonts w:hint="eastAsia" w:ascii="仿宋" w:hAnsi="仿宋" w:eastAsia="仿宋" w:cs="仿宋"/>
                <w:sz w:val="24"/>
              </w:rPr>
              <w:br w:type="textWrapping"/>
            </w:r>
            <w:r>
              <w:rPr>
                <w:rFonts w:hint="eastAsia" w:ascii="仿宋" w:hAnsi="仿宋" w:eastAsia="仿宋" w:cs="仿宋"/>
                <w:sz w:val="24"/>
              </w:rPr>
              <w:t>5.当数据因自身数据库原因或存储设备故障原因发生丢失或损坏时, 供应商提供免费完成数据的恢复或重装工作。</w:t>
            </w:r>
          </w:p>
          <w:p w14:paraId="7CA92FD7">
            <w:pPr>
              <w:rPr>
                <w:rFonts w:ascii="仿宋" w:hAnsi="仿宋" w:eastAsia="仿宋" w:cs="仿宋"/>
                <w:sz w:val="24"/>
              </w:rPr>
            </w:pPr>
          </w:p>
          <w:p w14:paraId="380D9A9B">
            <w:pPr>
              <w:rPr>
                <w:rFonts w:ascii="仿宋" w:hAnsi="仿宋" w:eastAsia="仿宋" w:cs="仿宋"/>
                <w:sz w:val="24"/>
              </w:rPr>
            </w:pPr>
          </w:p>
          <w:p w14:paraId="6F10ECBC">
            <w:pPr>
              <w:rPr>
                <w:rFonts w:ascii="仿宋" w:hAnsi="仿宋" w:eastAsia="仿宋" w:cs="仿宋"/>
                <w:sz w:val="24"/>
              </w:rPr>
            </w:pPr>
          </w:p>
        </w:tc>
      </w:tr>
      <w:tr w14:paraId="5D5CD7F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9" w:type="dxa"/>
          <w:cantSplit/>
          <w:trHeight w:val="484" w:hRule="atLeast"/>
        </w:trPr>
        <w:tc>
          <w:tcPr>
            <w:tcW w:w="841" w:type="dxa"/>
            <w:vMerge w:val="continue"/>
            <w:tcBorders>
              <w:left w:val="single" w:color="auto" w:sz="2" w:space="0"/>
              <w:bottom w:val="single" w:color="auto" w:sz="4" w:space="0"/>
              <w:right w:val="single" w:color="auto" w:sz="2" w:space="0"/>
            </w:tcBorders>
            <w:textDirection w:val="tbRlV"/>
            <w:vAlign w:val="center"/>
          </w:tcPr>
          <w:p w14:paraId="5581C111">
            <w:pPr>
              <w:ind w:left="113" w:right="113"/>
              <w:jc w:val="center"/>
              <w:rPr>
                <w:rFonts w:ascii="仿宋" w:hAnsi="仿宋" w:eastAsia="仿宋" w:cs="仿宋"/>
                <w:sz w:val="24"/>
              </w:rPr>
            </w:pPr>
          </w:p>
        </w:tc>
        <w:tc>
          <w:tcPr>
            <w:tcW w:w="1418" w:type="dxa"/>
            <w:tcBorders>
              <w:top w:val="single" w:color="auto" w:sz="2" w:space="0"/>
              <w:left w:val="single" w:color="auto" w:sz="2" w:space="0"/>
              <w:bottom w:val="single" w:color="auto" w:sz="4" w:space="0"/>
              <w:right w:val="single" w:color="auto" w:sz="2" w:space="0"/>
            </w:tcBorders>
            <w:vAlign w:val="center"/>
          </w:tcPr>
          <w:p w14:paraId="07BA74AA">
            <w:pPr>
              <w:rPr>
                <w:rFonts w:ascii="仿宋" w:hAnsi="仿宋" w:eastAsia="仿宋" w:cs="仿宋"/>
                <w:sz w:val="24"/>
              </w:rPr>
            </w:pPr>
            <w:r>
              <w:rPr>
                <w:rFonts w:hint="eastAsia" w:ascii="仿宋" w:hAnsi="仿宋" w:eastAsia="仿宋" w:cs="仿宋"/>
                <w:sz w:val="24"/>
              </w:rPr>
              <w:t>内容简介</w:t>
            </w:r>
          </w:p>
        </w:tc>
        <w:tc>
          <w:tcPr>
            <w:tcW w:w="7363" w:type="dxa"/>
            <w:gridSpan w:val="3"/>
            <w:tcBorders>
              <w:top w:val="single" w:color="auto" w:sz="2" w:space="0"/>
              <w:left w:val="single" w:color="auto" w:sz="2" w:space="0"/>
              <w:bottom w:val="single" w:color="auto" w:sz="4" w:space="0"/>
              <w:right w:val="single" w:color="auto" w:sz="2" w:space="0"/>
            </w:tcBorders>
            <w:vAlign w:val="center"/>
          </w:tcPr>
          <w:p w14:paraId="7C214925">
            <w:pPr>
              <w:rPr>
                <w:rFonts w:ascii="仿宋" w:hAnsi="仿宋" w:eastAsia="仿宋" w:cs="仿宋"/>
                <w:sz w:val="24"/>
              </w:rPr>
            </w:pPr>
            <w:r>
              <w:rPr>
                <w:rFonts w:hint="eastAsia" w:ascii="仿宋" w:hAnsi="仿宋" w:eastAsia="仿宋" w:cs="仿宋"/>
                <w:sz w:val="24"/>
              </w:rPr>
              <w:t>1. 清咸同光三朝朝政档案汇刊全文</w:t>
            </w:r>
            <w:r>
              <w:rPr>
                <w:rFonts w:hint="eastAsia" w:ascii="仿宋" w:hAnsi="仿宋" w:eastAsia="仿宋" w:cs="仿宋"/>
                <w:sz w:val="24"/>
              </w:rPr>
              <w:br w:type="textWrapping"/>
            </w:r>
            <w:r>
              <w:rPr>
                <w:rFonts w:hint="eastAsia" w:ascii="仿宋" w:hAnsi="仿宋" w:eastAsia="仿宋" w:cs="仿宋"/>
                <w:sz w:val="24"/>
              </w:rPr>
              <w:t>清代中晚期咸丰、同治、光绪三朝国力日渐衰败，面对纷繁复杂的内外时局动荡,朝政格局发生巨变时期的特殊时期，清廷如何处理应对棘手的方方面面问题，该数据子库汇集这三朝各部衙署档案及文献，让读者能够从中可以更加全面广泛地研究了解相关史实。</w:t>
            </w:r>
            <w:r>
              <w:rPr>
                <w:rFonts w:hint="eastAsia" w:ascii="仿宋" w:hAnsi="仿宋" w:eastAsia="仿宋" w:cs="仿宋"/>
                <w:sz w:val="24"/>
              </w:rPr>
              <w:br w:type="textWrapping"/>
            </w:r>
            <w:r>
              <w:rPr>
                <w:rFonts w:hint="eastAsia" w:ascii="仿宋" w:hAnsi="仿宋" w:eastAsia="仿宋" w:cs="仿宋"/>
                <w:sz w:val="24"/>
              </w:rPr>
              <w:t>本数据子库内容全部选自清代咸同光三朝稀见珍贵历史档案信息，如总理各国事务衙门、军机处、通商大臣、巡抚、朝臣、军部、刑部、吏部、税务、海关、户部、传邮部、洋务等，所涉及面清政府各方政务也是以往档案文献所没有的。</w:t>
            </w:r>
            <w:r>
              <w:rPr>
                <w:rFonts w:hint="eastAsia" w:ascii="仿宋" w:hAnsi="仿宋" w:eastAsia="仿宋" w:cs="仿宋"/>
                <w:sz w:val="24"/>
              </w:rPr>
              <w:br w:type="textWrapping"/>
            </w:r>
            <w:r>
              <w:rPr>
                <w:rFonts w:hint="eastAsia" w:ascii="仿宋" w:hAnsi="仿宋" w:eastAsia="仿宋" w:cs="仿宋"/>
                <w:sz w:val="24"/>
              </w:rPr>
              <w:t>2. 清代外交档案文献续编全文</w:t>
            </w:r>
            <w:r>
              <w:rPr>
                <w:rFonts w:hint="eastAsia" w:ascii="仿宋" w:hAnsi="仿宋" w:eastAsia="仿宋" w:cs="仿宋"/>
                <w:sz w:val="24"/>
              </w:rPr>
              <w:br w:type="textWrapping"/>
            </w:r>
            <w:r>
              <w:rPr>
                <w:rFonts w:hint="eastAsia" w:ascii="仿宋" w:hAnsi="仿宋" w:eastAsia="仿宋" w:cs="仿宋"/>
                <w:sz w:val="24"/>
              </w:rPr>
              <w:t>内容记载涉及自道光三十年至同治二年该衙门诏谕、奏疏、函扎、咨文、照会等，以及衙门编存的《朝鲜档》，该档案是这个时期对外交涉的重要内容同时本数据子库收录了清末棘手的对外问题-各地不断出现的教务/教案，以增强其内容的广泛性。</w:t>
            </w:r>
          </w:p>
        </w:tc>
      </w:tr>
      <w:tr w14:paraId="4B7243F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9" w:type="dxa"/>
          <w:cantSplit/>
          <w:trHeight w:val="503" w:hRule="atLeast"/>
        </w:trPr>
        <w:tc>
          <w:tcPr>
            <w:tcW w:w="841" w:type="dxa"/>
            <w:vMerge w:val="continue"/>
            <w:vAlign w:val="center"/>
          </w:tcPr>
          <w:p w14:paraId="2EE56197">
            <w:pPr>
              <w:rPr>
                <w:rFonts w:ascii="仿宋" w:hAnsi="仿宋" w:eastAsia="仿宋" w:cs="仿宋"/>
                <w:sz w:val="24"/>
              </w:rPr>
            </w:pPr>
          </w:p>
        </w:tc>
        <w:tc>
          <w:tcPr>
            <w:tcW w:w="1418" w:type="dxa"/>
            <w:vAlign w:val="center"/>
          </w:tcPr>
          <w:p w14:paraId="62A811F0">
            <w:pPr>
              <w:rPr>
                <w:rFonts w:ascii="仿宋" w:hAnsi="仿宋" w:eastAsia="仿宋" w:cs="仿宋"/>
                <w:sz w:val="24"/>
              </w:rPr>
            </w:pPr>
            <w:r>
              <w:rPr>
                <w:rFonts w:hint="eastAsia" w:ascii="仿宋" w:hAnsi="仿宋" w:eastAsia="仿宋" w:cs="仿宋"/>
                <w:sz w:val="24"/>
              </w:rPr>
              <w:t>检索系统</w:t>
            </w:r>
          </w:p>
        </w:tc>
        <w:tc>
          <w:tcPr>
            <w:tcW w:w="7363" w:type="dxa"/>
            <w:gridSpan w:val="3"/>
            <w:vAlign w:val="center"/>
          </w:tcPr>
          <w:p w14:paraId="16B75A2C">
            <w:pPr>
              <w:rPr>
                <w:rFonts w:ascii="仿宋" w:hAnsi="仿宋" w:eastAsia="仿宋" w:cs="仿宋"/>
                <w:sz w:val="24"/>
              </w:rPr>
            </w:pPr>
            <w:r>
              <w:rPr>
                <w:rFonts w:hint="eastAsia" w:ascii="仿宋" w:hAnsi="仿宋" w:eastAsia="仿宋" w:cs="仿宋"/>
                <w:sz w:val="24"/>
              </w:rPr>
              <w:t>不适用</w:t>
            </w:r>
          </w:p>
        </w:tc>
      </w:tr>
      <w:tr w14:paraId="02861D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9" w:type="dxa"/>
          <w:cantSplit/>
          <w:trHeight w:val="425" w:hRule="atLeast"/>
        </w:trPr>
        <w:tc>
          <w:tcPr>
            <w:tcW w:w="841" w:type="dxa"/>
            <w:vMerge w:val="restart"/>
            <w:tcBorders>
              <w:top w:val="single" w:color="auto" w:sz="4" w:space="0"/>
            </w:tcBorders>
          </w:tcPr>
          <w:p w14:paraId="26F77596">
            <w:pPr>
              <w:rPr>
                <w:rFonts w:ascii="仿宋" w:hAnsi="仿宋" w:eastAsia="仿宋" w:cs="仿宋"/>
                <w:b/>
                <w:sz w:val="24"/>
              </w:rPr>
            </w:pPr>
          </w:p>
          <w:p w14:paraId="4E961EC6">
            <w:pPr>
              <w:rPr>
                <w:rFonts w:ascii="仿宋" w:hAnsi="仿宋" w:eastAsia="仿宋" w:cs="仿宋"/>
                <w:b/>
                <w:sz w:val="24"/>
              </w:rPr>
            </w:pPr>
          </w:p>
          <w:p w14:paraId="15519DA3">
            <w:pPr>
              <w:rPr>
                <w:rFonts w:ascii="仿宋" w:hAnsi="仿宋" w:eastAsia="仿宋" w:cs="仿宋"/>
                <w:b/>
                <w:sz w:val="24"/>
              </w:rPr>
            </w:pPr>
          </w:p>
          <w:p w14:paraId="4F171077">
            <w:pPr>
              <w:rPr>
                <w:rFonts w:ascii="仿宋" w:hAnsi="仿宋" w:eastAsia="仿宋" w:cs="仿宋"/>
                <w:b/>
                <w:sz w:val="24"/>
              </w:rPr>
            </w:pPr>
          </w:p>
          <w:p w14:paraId="224C4310">
            <w:pPr>
              <w:rPr>
                <w:rFonts w:ascii="仿宋" w:hAnsi="仿宋" w:eastAsia="仿宋" w:cs="仿宋"/>
                <w:b/>
                <w:sz w:val="24"/>
              </w:rPr>
            </w:pPr>
          </w:p>
          <w:p w14:paraId="0826FE66">
            <w:pPr>
              <w:jc w:val="center"/>
              <w:rPr>
                <w:rFonts w:ascii="仿宋" w:hAnsi="仿宋" w:eastAsia="仿宋" w:cs="仿宋"/>
                <w:b/>
                <w:sz w:val="24"/>
              </w:rPr>
            </w:pPr>
            <w:r>
              <w:rPr>
                <w:rFonts w:hint="eastAsia" w:ascii="仿宋" w:hAnsi="仿宋" w:eastAsia="仿宋" w:cs="仿宋"/>
                <w:b/>
                <w:sz w:val="24"/>
              </w:rPr>
              <w:t>价 值 与 成 本 核 算</w:t>
            </w:r>
          </w:p>
          <w:p w14:paraId="118D4751">
            <w:pPr>
              <w:ind w:left="113" w:right="113"/>
              <w:jc w:val="center"/>
              <w:rPr>
                <w:rFonts w:ascii="仿宋" w:hAnsi="仿宋" w:eastAsia="仿宋" w:cs="仿宋"/>
                <w:sz w:val="24"/>
              </w:rPr>
            </w:pPr>
          </w:p>
          <w:p w14:paraId="093717FA">
            <w:pPr>
              <w:ind w:left="113" w:right="113"/>
              <w:jc w:val="center"/>
              <w:rPr>
                <w:rFonts w:ascii="仿宋" w:hAnsi="仿宋" w:eastAsia="仿宋" w:cs="仿宋"/>
                <w:sz w:val="24"/>
              </w:rPr>
            </w:pPr>
          </w:p>
          <w:p w14:paraId="361A6CFE">
            <w:pPr>
              <w:ind w:left="113" w:right="113"/>
              <w:jc w:val="center"/>
              <w:rPr>
                <w:rFonts w:ascii="仿宋" w:hAnsi="仿宋" w:eastAsia="仿宋" w:cs="仿宋"/>
                <w:sz w:val="24"/>
              </w:rPr>
            </w:pPr>
          </w:p>
          <w:p w14:paraId="0B95AAC7">
            <w:pPr>
              <w:ind w:left="113" w:right="113"/>
              <w:jc w:val="center"/>
              <w:rPr>
                <w:rFonts w:ascii="仿宋" w:hAnsi="仿宋" w:eastAsia="仿宋" w:cs="仿宋"/>
                <w:sz w:val="24"/>
              </w:rPr>
            </w:pPr>
          </w:p>
          <w:p w14:paraId="0F4CDE2A">
            <w:pPr>
              <w:ind w:left="113" w:right="113"/>
              <w:jc w:val="center"/>
              <w:rPr>
                <w:rFonts w:ascii="仿宋" w:hAnsi="仿宋" w:eastAsia="仿宋" w:cs="仿宋"/>
                <w:b/>
                <w:sz w:val="24"/>
              </w:rPr>
            </w:pPr>
          </w:p>
        </w:tc>
        <w:tc>
          <w:tcPr>
            <w:tcW w:w="1418" w:type="dxa"/>
            <w:tcBorders>
              <w:top w:val="single" w:color="auto" w:sz="4" w:space="0"/>
            </w:tcBorders>
            <w:vAlign w:val="center"/>
          </w:tcPr>
          <w:p w14:paraId="6C7E2604">
            <w:pPr>
              <w:rPr>
                <w:rFonts w:ascii="仿宋" w:hAnsi="仿宋" w:eastAsia="仿宋" w:cs="仿宋"/>
                <w:sz w:val="24"/>
              </w:rPr>
            </w:pPr>
            <w:r>
              <w:rPr>
                <w:rFonts w:hint="eastAsia" w:ascii="仿宋" w:hAnsi="仿宋" w:eastAsia="仿宋" w:cs="仿宋"/>
                <w:sz w:val="24"/>
              </w:rPr>
              <w:t>电子资源价格及使用期限</w:t>
            </w:r>
          </w:p>
        </w:tc>
        <w:tc>
          <w:tcPr>
            <w:tcW w:w="7363" w:type="dxa"/>
            <w:gridSpan w:val="3"/>
            <w:tcBorders>
              <w:top w:val="single" w:color="auto" w:sz="4" w:space="0"/>
            </w:tcBorders>
            <w:vAlign w:val="center"/>
          </w:tcPr>
          <w:p w14:paraId="561A95F4">
            <w:pPr>
              <w:rPr>
                <w:rFonts w:ascii="仿宋" w:hAnsi="仿宋" w:eastAsia="仿宋" w:cs="仿宋"/>
                <w:sz w:val="24"/>
              </w:rPr>
            </w:pPr>
            <w:r>
              <w:rPr>
                <w:rFonts w:hint="eastAsia" w:ascii="仿宋" w:hAnsi="仿宋" w:eastAsia="仿宋" w:cs="仿宋"/>
                <w:sz w:val="24"/>
              </w:rPr>
              <w:t>35.6万元人民币，永久使用权</w:t>
            </w:r>
          </w:p>
        </w:tc>
      </w:tr>
      <w:tr w14:paraId="26622BC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9" w:type="dxa"/>
          <w:cantSplit/>
          <w:trHeight w:val="494" w:hRule="atLeast"/>
        </w:trPr>
        <w:tc>
          <w:tcPr>
            <w:tcW w:w="841" w:type="dxa"/>
            <w:vMerge w:val="continue"/>
            <w:textDirection w:val="tbRlV"/>
            <w:vAlign w:val="center"/>
          </w:tcPr>
          <w:p w14:paraId="53E35E05">
            <w:pPr>
              <w:ind w:left="113" w:right="113"/>
              <w:jc w:val="center"/>
              <w:rPr>
                <w:rFonts w:ascii="仿宋" w:hAnsi="仿宋" w:eastAsia="仿宋" w:cs="仿宋"/>
                <w:sz w:val="24"/>
              </w:rPr>
            </w:pPr>
          </w:p>
        </w:tc>
        <w:tc>
          <w:tcPr>
            <w:tcW w:w="1418" w:type="dxa"/>
            <w:tcBorders>
              <w:bottom w:val="single" w:color="auto" w:sz="6" w:space="0"/>
            </w:tcBorders>
            <w:vAlign w:val="center"/>
          </w:tcPr>
          <w:p w14:paraId="58D8A64E">
            <w:pPr>
              <w:rPr>
                <w:rFonts w:ascii="仿宋" w:hAnsi="仿宋" w:eastAsia="仿宋" w:cs="仿宋"/>
                <w:sz w:val="24"/>
              </w:rPr>
            </w:pPr>
            <w:r>
              <w:rPr>
                <w:rFonts w:hint="eastAsia" w:ascii="仿宋" w:hAnsi="仿宋" w:eastAsia="仿宋" w:cs="仿宋"/>
                <w:sz w:val="24"/>
              </w:rPr>
              <w:t>与纸质文献性价比较</w:t>
            </w:r>
          </w:p>
        </w:tc>
        <w:tc>
          <w:tcPr>
            <w:tcW w:w="7363" w:type="dxa"/>
            <w:gridSpan w:val="3"/>
            <w:tcBorders>
              <w:bottom w:val="single" w:color="auto" w:sz="6" w:space="0"/>
            </w:tcBorders>
            <w:vAlign w:val="center"/>
          </w:tcPr>
          <w:p w14:paraId="0D32B5AE">
            <w:pPr>
              <w:rPr>
                <w:rFonts w:ascii="仿宋" w:hAnsi="仿宋" w:eastAsia="仿宋" w:cs="仿宋"/>
                <w:sz w:val="24"/>
              </w:rPr>
            </w:pPr>
            <w:r>
              <w:rPr>
                <w:rFonts w:hint="eastAsia" w:ascii="仿宋" w:hAnsi="仿宋" w:eastAsia="仿宋" w:cs="仿宋"/>
                <w:sz w:val="24"/>
              </w:rPr>
              <w:t>不适用</w:t>
            </w:r>
          </w:p>
        </w:tc>
      </w:tr>
      <w:tr w14:paraId="32AF012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552" w:hRule="atLeast"/>
        </w:trPr>
        <w:tc>
          <w:tcPr>
            <w:tcW w:w="9631" w:type="dxa"/>
            <w:gridSpan w:val="6"/>
            <w:tcBorders>
              <w:top w:val="single" w:color="auto" w:sz="4" w:space="0"/>
              <w:bottom w:val="single" w:color="auto" w:sz="4" w:space="0"/>
            </w:tcBorders>
            <w:vAlign w:val="center"/>
          </w:tcPr>
          <w:p w14:paraId="332B67D6">
            <w:pPr>
              <w:jc w:val="left"/>
              <w:rPr>
                <w:rFonts w:ascii="仿宋" w:hAnsi="仿宋" w:eastAsia="仿宋" w:cs="仿宋"/>
                <w:b/>
                <w:sz w:val="24"/>
              </w:rPr>
            </w:pPr>
            <w:r>
              <w:rPr>
                <w:rFonts w:hint="eastAsia" w:ascii="仿宋" w:hAnsi="仿宋" w:eastAsia="仿宋" w:cs="仿宋"/>
                <w:b/>
                <w:sz w:val="24"/>
              </w:rPr>
              <w:t>购置理由（必要性和合理性）：</w:t>
            </w:r>
          </w:p>
          <w:p w14:paraId="14233747">
            <w:pPr>
              <w:rPr>
                <w:rFonts w:ascii="仿宋" w:hAnsi="仿宋" w:eastAsia="仿宋" w:cs="仿宋"/>
                <w:sz w:val="24"/>
              </w:rPr>
            </w:pPr>
            <w:r>
              <w:rPr>
                <w:rFonts w:hint="eastAsia" w:ascii="仿宋" w:hAnsi="仿宋" w:eastAsia="仿宋" w:cs="仿宋"/>
                <w:sz w:val="24"/>
              </w:rPr>
              <w:t>1. 本次采购的书同文古籍数据库中</w:t>
            </w:r>
            <w:r>
              <w:rPr>
                <w:rFonts w:hint="eastAsia" w:ascii="仿宋" w:hAnsi="仿宋" w:eastAsia="仿宋" w:cs="仿宋"/>
                <w:sz w:val="24"/>
              </w:rPr>
              <w:br w:type="textWrapping"/>
            </w:r>
            <w:r>
              <w:rPr>
                <w:rFonts w:hint="eastAsia" w:ascii="仿宋" w:hAnsi="仿宋" w:eastAsia="仿宋" w:cs="仿宋"/>
                <w:sz w:val="24"/>
              </w:rPr>
              <w:t>（1）清代外交档案文献续编全文检索库系统 V1.0  内容涵盖清代外交档案文献续编全文，记载了涉及自道光三十年至同治二年该衙门诏谕、奏疏、函扎、咨文、照会等。衙门编存的《朝鲜档》也是这个时期对外交涉的重要内容。清末另外一个棘手的对外问题就是各地不断出现的教务/教案的发生，此类事件令清廷当局非常头痛。因此本选题将这些档案同样予以收录，以增强其内容的广泛性。</w:t>
            </w:r>
            <w:r>
              <w:rPr>
                <w:rFonts w:hint="eastAsia" w:ascii="仿宋" w:hAnsi="仿宋" w:eastAsia="仿宋" w:cs="仿宋"/>
                <w:sz w:val="24"/>
              </w:rPr>
              <w:br w:type="textWrapping"/>
            </w:r>
            <w:r>
              <w:rPr>
                <w:rFonts w:hint="eastAsia" w:ascii="仿宋" w:hAnsi="仿宋" w:eastAsia="仿宋" w:cs="仿宋"/>
                <w:sz w:val="24"/>
              </w:rPr>
              <w:t>（2）清咸同光三朝朝政档案汇刊全文检索系统 V1.0  内容全部选自清代咸同光三朝稀见珍贵历史档案信息，如总理各国事务衙门、军机处、通商大臣、巡抚、朝臣、军部、刑部、吏部、税务、海关、户部、传邮部、洋务等，所涉及面清政府各方政务也是以往档案文献所没有的，较以往的清代史料要广泛得多丰富得多。</w:t>
            </w:r>
            <w:r>
              <w:rPr>
                <w:rFonts w:hint="eastAsia" w:ascii="仿宋" w:hAnsi="仿宋" w:eastAsia="仿宋" w:cs="仿宋"/>
                <w:sz w:val="24"/>
              </w:rPr>
              <w:br w:type="textWrapping"/>
            </w:r>
            <w:r>
              <w:rPr>
                <w:rFonts w:hint="eastAsia" w:ascii="仿宋" w:hAnsi="仿宋" w:eastAsia="仿宋" w:cs="仿宋"/>
                <w:sz w:val="24"/>
              </w:rPr>
              <w:t>该二子库内容包含大量晚清时期珍稀文献资源，其内容为该数据库独有。与市场同类数据库相比，该数据库对我校教授的科研和教学具有不可替代性。今年经学院教授推荐，图书馆委员会经审批同意采购书同文古籍数据库中此二子库，详见附件。</w:t>
            </w:r>
            <w:r>
              <w:rPr>
                <w:rFonts w:hint="eastAsia" w:ascii="仿宋" w:hAnsi="仿宋" w:eastAsia="仿宋" w:cs="仿宋"/>
                <w:sz w:val="24"/>
              </w:rPr>
              <w:br w:type="textWrapping"/>
            </w:r>
            <w:r>
              <w:rPr>
                <w:rFonts w:hint="eastAsia" w:ascii="仿宋" w:hAnsi="仿宋" w:eastAsia="仿宋" w:cs="仿宋"/>
                <w:sz w:val="24"/>
              </w:rPr>
              <w:t>2. 在教学方面，该数据库子库产品主要用于修读GEA2000课程及GEC中历史类课程的本科生，该课程为我校通识类课程，为全校所有本科生（超1万本科生）必修课程，主题为中国近现代史，也即晚清民国时期中国史，该部分课程的老师和同学可以通过该资源查阅中国晚清咸丰、同治、光绪时期历史上的重要档案信息，为我校教授课程所必需，因此该数据库对我校相关课程在近现代史方向研究上具有其不可替代性。</w:t>
            </w:r>
            <w:r>
              <w:rPr>
                <w:rFonts w:hint="eastAsia" w:ascii="仿宋" w:hAnsi="仿宋" w:eastAsia="仿宋" w:cs="仿宋"/>
                <w:sz w:val="24"/>
              </w:rPr>
              <w:br w:type="textWrapping"/>
            </w:r>
            <w:r>
              <w:rPr>
                <w:rFonts w:hint="eastAsia" w:ascii="仿宋" w:hAnsi="仿宋" w:eastAsia="仿宋" w:cs="仿宋"/>
                <w:sz w:val="24"/>
              </w:rPr>
              <w:br w:type="textWrapping"/>
            </w:r>
            <w:r>
              <w:rPr>
                <w:rFonts w:hint="eastAsia" w:ascii="仿宋" w:hAnsi="仿宋" w:eastAsia="仿宋" w:cs="仿宋"/>
                <w:sz w:val="24"/>
              </w:rPr>
              <w:t>按照大学采购流程，该数据库采购计划已提交图书馆委员会报备，并通过委员会审核，相关邮件见附件 。</w:t>
            </w:r>
          </w:p>
          <w:p w14:paraId="34B9F144">
            <w:pPr>
              <w:jc w:val="left"/>
              <w:rPr>
                <w:rFonts w:ascii="仿宋" w:hAnsi="仿宋" w:eastAsia="仿宋" w:cs="仿宋"/>
                <w:b/>
                <w:sz w:val="24"/>
              </w:rPr>
            </w:pPr>
          </w:p>
          <w:p w14:paraId="709951A3">
            <w:pPr>
              <w:rPr>
                <w:rFonts w:ascii="仿宋" w:hAnsi="仿宋" w:eastAsia="仿宋" w:cs="仿宋"/>
                <w:sz w:val="24"/>
              </w:rPr>
            </w:pPr>
          </w:p>
        </w:tc>
      </w:tr>
    </w:tbl>
    <w:p w14:paraId="03CAD17E">
      <w:pPr>
        <w:rPr>
          <w:rFonts w:ascii="仿宋" w:hAnsi="仿宋" w:eastAsia="仿宋"/>
          <w:sz w:val="24"/>
        </w:rPr>
      </w:pPr>
    </w:p>
    <w:sectPr>
      <w:headerReference r:id="rId3" w:type="default"/>
      <w:footerReference r:id="rId4" w:type="default"/>
      <w:pgSz w:w="11906" w:h="16838"/>
      <w:pgMar w:top="1440" w:right="1800" w:bottom="1985" w:left="1800"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70767807"/>
    </w:sdtPr>
    <w:sdtContent>
      <w:p w14:paraId="6AE54615">
        <w:pPr>
          <w:pStyle w:val="5"/>
          <w:jc w:val="right"/>
        </w:pPr>
        <w:r>
          <w:fldChar w:fldCharType="begin"/>
        </w:r>
        <w:r>
          <w:instrText xml:space="preserve">PAGE   \* MERGEFORMAT</w:instrText>
        </w:r>
        <w:r>
          <w:fldChar w:fldCharType="separate"/>
        </w:r>
        <w:r>
          <w:rPr>
            <w:lang w:val="zh-CN"/>
          </w:rPr>
          <w:t>5</w:t>
        </w:r>
        <w:r>
          <w:fldChar w:fldCharType="end"/>
        </w:r>
      </w:p>
    </w:sdtContent>
  </w:sdt>
  <w:p w14:paraId="4040B0E8">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408D28">
    <w:pPr>
      <w:pStyle w:val="8"/>
      <w:rPr>
        <w:rFonts w:ascii="宋体" w:hAnsi="宋体" w:eastAsia="宋体"/>
      </w:rPr>
    </w:pPr>
    <w:r>
      <w:rPr>
        <w:rFonts w:ascii="宋体" w:hAnsi="宋体" w:eastAsia="宋体"/>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ViY2JkMjU3NGYzZTEwMzZmMGFkZWViYmNkYWU3NDIifQ=="/>
  </w:docVars>
  <w:rsids>
    <w:rsidRoot w:val="00DE633E"/>
    <w:rsid w:val="00000D47"/>
    <w:rsid w:val="00005A6F"/>
    <w:rsid w:val="00027A76"/>
    <w:rsid w:val="000320CF"/>
    <w:rsid w:val="000350E1"/>
    <w:rsid w:val="00040429"/>
    <w:rsid w:val="000408B4"/>
    <w:rsid w:val="00045564"/>
    <w:rsid w:val="0005391F"/>
    <w:rsid w:val="0005669F"/>
    <w:rsid w:val="000676A9"/>
    <w:rsid w:val="00071967"/>
    <w:rsid w:val="00072051"/>
    <w:rsid w:val="0008787F"/>
    <w:rsid w:val="00087B10"/>
    <w:rsid w:val="0009713E"/>
    <w:rsid w:val="000972B4"/>
    <w:rsid w:val="000A5ED3"/>
    <w:rsid w:val="000B2AF3"/>
    <w:rsid w:val="000C3653"/>
    <w:rsid w:val="000C4BDF"/>
    <w:rsid w:val="000C7634"/>
    <w:rsid w:val="000D4066"/>
    <w:rsid w:val="000F27B0"/>
    <w:rsid w:val="0010111C"/>
    <w:rsid w:val="00115461"/>
    <w:rsid w:val="001155FD"/>
    <w:rsid w:val="00125F66"/>
    <w:rsid w:val="0012792F"/>
    <w:rsid w:val="00131297"/>
    <w:rsid w:val="00131B30"/>
    <w:rsid w:val="00132168"/>
    <w:rsid w:val="00140C14"/>
    <w:rsid w:val="00141525"/>
    <w:rsid w:val="00154474"/>
    <w:rsid w:val="0017621A"/>
    <w:rsid w:val="001860B9"/>
    <w:rsid w:val="00190D40"/>
    <w:rsid w:val="001A4F06"/>
    <w:rsid w:val="001A7A03"/>
    <w:rsid w:val="001B3EFF"/>
    <w:rsid w:val="001B7869"/>
    <w:rsid w:val="001C26F4"/>
    <w:rsid w:val="001C7074"/>
    <w:rsid w:val="001D45F5"/>
    <w:rsid w:val="001E7672"/>
    <w:rsid w:val="001F4B2B"/>
    <w:rsid w:val="001F52D6"/>
    <w:rsid w:val="001F5EF2"/>
    <w:rsid w:val="00206A69"/>
    <w:rsid w:val="00217F48"/>
    <w:rsid w:val="00233031"/>
    <w:rsid w:val="00233DDA"/>
    <w:rsid w:val="00240C4C"/>
    <w:rsid w:val="00252D3E"/>
    <w:rsid w:val="002601D2"/>
    <w:rsid w:val="00264CA9"/>
    <w:rsid w:val="0029268F"/>
    <w:rsid w:val="00296546"/>
    <w:rsid w:val="002B0C02"/>
    <w:rsid w:val="002C7102"/>
    <w:rsid w:val="002D2C8C"/>
    <w:rsid w:val="002D33BC"/>
    <w:rsid w:val="002E2CB0"/>
    <w:rsid w:val="002F57A5"/>
    <w:rsid w:val="002F7272"/>
    <w:rsid w:val="0030042C"/>
    <w:rsid w:val="003011E9"/>
    <w:rsid w:val="003042C9"/>
    <w:rsid w:val="003128C3"/>
    <w:rsid w:val="00314CB0"/>
    <w:rsid w:val="0032071E"/>
    <w:rsid w:val="0032788A"/>
    <w:rsid w:val="003367B4"/>
    <w:rsid w:val="00353FA2"/>
    <w:rsid w:val="00355719"/>
    <w:rsid w:val="00356A78"/>
    <w:rsid w:val="0036519A"/>
    <w:rsid w:val="00380960"/>
    <w:rsid w:val="00380EB3"/>
    <w:rsid w:val="00383C38"/>
    <w:rsid w:val="00384277"/>
    <w:rsid w:val="00387DC3"/>
    <w:rsid w:val="003A399C"/>
    <w:rsid w:val="003A67F3"/>
    <w:rsid w:val="003B02D9"/>
    <w:rsid w:val="003B311E"/>
    <w:rsid w:val="003E2578"/>
    <w:rsid w:val="003E4701"/>
    <w:rsid w:val="003E4AD2"/>
    <w:rsid w:val="003E6637"/>
    <w:rsid w:val="003E72DC"/>
    <w:rsid w:val="003F0A25"/>
    <w:rsid w:val="003F54CB"/>
    <w:rsid w:val="00401FC4"/>
    <w:rsid w:val="00415078"/>
    <w:rsid w:val="00416CFB"/>
    <w:rsid w:val="00436A00"/>
    <w:rsid w:val="004376BE"/>
    <w:rsid w:val="00453A5A"/>
    <w:rsid w:val="00470466"/>
    <w:rsid w:val="004708DC"/>
    <w:rsid w:val="0047770A"/>
    <w:rsid w:val="004A014C"/>
    <w:rsid w:val="004A07D3"/>
    <w:rsid w:val="004A362A"/>
    <w:rsid w:val="004A5BA4"/>
    <w:rsid w:val="004B3895"/>
    <w:rsid w:val="004F33E1"/>
    <w:rsid w:val="004F644E"/>
    <w:rsid w:val="0050266D"/>
    <w:rsid w:val="00507C45"/>
    <w:rsid w:val="00514958"/>
    <w:rsid w:val="00531834"/>
    <w:rsid w:val="00532C57"/>
    <w:rsid w:val="005358D2"/>
    <w:rsid w:val="005455E3"/>
    <w:rsid w:val="00546FC0"/>
    <w:rsid w:val="005643A4"/>
    <w:rsid w:val="00564771"/>
    <w:rsid w:val="00564B8D"/>
    <w:rsid w:val="005670AA"/>
    <w:rsid w:val="00571A5C"/>
    <w:rsid w:val="00573A6D"/>
    <w:rsid w:val="00585339"/>
    <w:rsid w:val="005857D3"/>
    <w:rsid w:val="0059686C"/>
    <w:rsid w:val="005C7810"/>
    <w:rsid w:val="005D233C"/>
    <w:rsid w:val="005F1668"/>
    <w:rsid w:val="00603747"/>
    <w:rsid w:val="00604D21"/>
    <w:rsid w:val="00606F7D"/>
    <w:rsid w:val="006076FA"/>
    <w:rsid w:val="006164F0"/>
    <w:rsid w:val="00617100"/>
    <w:rsid w:val="00625274"/>
    <w:rsid w:val="00626A73"/>
    <w:rsid w:val="00627DD5"/>
    <w:rsid w:val="0063015D"/>
    <w:rsid w:val="006329D8"/>
    <w:rsid w:val="006349BB"/>
    <w:rsid w:val="00637FA8"/>
    <w:rsid w:val="006405FA"/>
    <w:rsid w:val="006707D3"/>
    <w:rsid w:val="00672FD5"/>
    <w:rsid w:val="00692D96"/>
    <w:rsid w:val="00695BA7"/>
    <w:rsid w:val="006A306E"/>
    <w:rsid w:val="006A686B"/>
    <w:rsid w:val="006B1924"/>
    <w:rsid w:val="006C5166"/>
    <w:rsid w:val="006C63B4"/>
    <w:rsid w:val="006C6CBA"/>
    <w:rsid w:val="006C7B99"/>
    <w:rsid w:val="006D5393"/>
    <w:rsid w:val="007171E0"/>
    <w:rsid w:val="00724505"/>
    <w:rsid w:val="00724E90"/>
    <w:rsid w:val="00727E38"/>
    <w:rsid w:val="00733CB0"/>
    <w:rsid w:val="00736B0B"/>
    <w:rsid w:val="00746AD9"/>
    <w:rsid w:val="00753A0C"/>
    <w:rsid w:val="00760714"/>
    <w:rsid w:val="00763485"/>
    <w:rsid w:val="00776120"/>
    <w:rsid w:val="007959E1"/>
    <w:rsid w:val="007D2F3F"/>
    <w:rsid w:val="007D7CE3"/>
    <w:rsid w:val="007E33E0"/>
    <w:rsid w:val="007E5FD3"/>
    <w:rsid w:val="0080047D"/>
    <w:rsid w:val="00802D4B"/>
    <w:rsid w:val="008466C1"/>
    <w:rsid w:val="008503BF"/>
    <w:rsid w:val="008612A2"/>
    <w:rsid w:val="00886EA3"/>
    <w:rsid w:val="00894FD4"/>
    <w:rsid w:val="008A131C"/>
    <w:rsid w:val="008A2031"/>
    <w:rsid w:val="008A7369"/>
    <w:rsid w:val="008B05F1"/>
    <w:rsid w:val="008B4832"/>
    <w:rsid w:val="008B5849"/>
    <w:rsid w:val="008C57CE"/>
    <w:rsid w:val="008E09E3"/>
    <w:rsid w:val="008E27C8"/>
    <w:rsid w:val="008E6AAB"/>
    <w:rsid w:val="008E6C20"/>
    <w:rsid w:val="008F154E"/>
    <w:rsid w:val="009000F1"/>
    <w:rsid w:val="009003AC"/>
    <w:rsid w:val="00902AF0"/>
    <w:rsid w:val="00903DD7"/>
    <w:rsid w:val="00916798"/>
    <w:rsid w:val="00920D2B"/>
    <w:rsid w:val="00933E28"/>
    <w:rsid w:val="00945516"/>
    <w:rsid w:val="00947452"/>
    <w:rsid w:val="009502D3"/>
    <w:rsid w:val="0095147D"/>
    <w:rsid w:val="00951621"/>
    <w:rsid w:val="00975771"/>
    <w:rsid w:val="00984486"/>
    <w:rsid w:val="0099635E"/>
    <w:rsid w:val="009973F5"/>
    <w:rsid w:val="009A6CAA"/>
    <w:rsid w:val="009C175A"/>
    <w:rsid w:val="009C2B87"/>
    <w:rsid w:val="009D1406"/>
    <w:rsid w:val="009D21A1"/>
    <w:rsid w:val="009D6F16"/>
    <w:rsid w:val="009E3E81"/>
    <w:rsid w:val="009F2E88"/>
    <w:rsid w:val="009F7467"/>
    <w:rsid w:val="00A022A2"/>
    <w:rsid w:val="00A107CB"/>
    <w:rsid w:val="00A143F7"/>
    <w:rsid w:val="00A15C24"/>
    <w:rsid w:val="00A253AC"/>
    <w:rsid w:val="00A26CDF"/>
    <w:rsid w:val="00A33F81"/>
    <w:rsid w:val="00A35901"/>
    <w:rsid w:val="00A40DC4"/>
    <w:rsid w:val="00A51BBC"/>
    <w:rsid w:val="00A53763"/>
    <w:rsid w:val="00A54F6B"/>
    <w:rsid w:val="00A55F7D"/>
    <w:rsid w:val="00A566A6"/>
    <w:rsid w:val="00A65A05"/>
    <w:rsid w:val="00A753BD"/>
    <w:rsid w:val="00A76791"/>
    <w:rsid w:val="00A82998"/>
    <w:rsid w:val="00A93D53"/>
    <w:rsid w:val="00A95DE7"/>
    <w:rsid w:val="00AA6940"/>
    <w:rsid w:val="00AE3674"/>
    <w:rsid w:val="00AE600E"/>
    <w:rsid w:val="00AE6408"/>
    <w:rsid w:val="00AF0D7B"/>
    <w:rsid w:val="00AF2870"/>
    <w:rsid w:val="00B0546F"/>
    <w:rsid w:val="00B1110F"/>
    <w:rsid w:val="00B176E9"/>
    <w:rsid w:val="00B21516"/>
    <w:rsid w:val="00B33091"/>
    <w:rsid w:val="00B36E9E"/>
    <w:rsid w:val="00B55B29"/>
    <w:rsid w:val="00B63B13"/>
    <w:rsid w:val="00B6512B"/>
    <w:rsid w:val="00B707DC"/>
    <w:rsid w:val="00B861DF"/>
    <w:rsid w:val="00B87476"/>
    <w:rsid w:val="00B9186E"/>
    <w:rsid w:val="00B919E9"/>
    <w:rsid w:val="00B93DDE"/>
    <w:rsid w:val="00B941C1"/>
    <w:rsid w:val="00BB1DE6"/>
    <w:rsid w:val="00BB6869"/>
    <w:rsid w:val="00BB720D"/>
    <w:rsid w:val="00BB7F76"/>
    <w:rsid w:val="00BC2CA9"/>
    <w:rsid w:val="00BD373D"/>
    <w:rsid w:val="00BE77A6"/>
    <w:rsid w:val="00BF6DB8"/>
    <w:rsid w:val="00C000C4"/>
    <w:rsid w:val="00C066E3"/>
    <w:rsid w:val="00C27D78"/>
    <w:rsid w:val="00C32C08"/>
    <w:rsid w:val="00C37EC9"/>
    <w:rsid w:val="00C53FCE"/>
    <w:rsid w:val="00C54D85"/>
    <w:rsid w:val="00C565A5"/>
    <w:rsid w:val="00C56958"/>
    <w:rsid w:val="00C8032D"/>
    <w:rsid w:val="00C82FE6"/>
    <w:rsid w:val="00C83317"/>
    <w:rsid w:val="00C83FD0"/>
    <w:rsid w:val="00C87FAF"/>
    <w:rsid w:val="00CA5E6E"/>
    <w:rsid w:val="00CB58F6"/>
    <w:rsid w:val="00CB7E5A"/>
    <w:rsid w:val="00CC6334"/>
    <w:rsid w:val="00CD0AEB"/>
    <w:rsid w:val="00CD0BFD"/>
    <w:rsid w:val="00CD266E"/>
    <w:rsid w:val="00CE2983"/>
    <w:rsid w:val="00CE5CAF"/>
    <w:rsid w:val="00D00546"/>
    <w:rsid w:val="00D06740"/>
    <w:rsid w:val="00D13595"/>
    <w:rsid w:val="00D15E13"/>
    <w:rsid w:val="00D43987"/>
    <w:rsid w:val="00D56DF0"/>
    <w:rsid w:val="00D65D70"/>
    <w:rsid w:val="00D65F06"/>
    <w:rsid w:val="00D70F7E"/>
    <w:rsid w:val="00D749A8"/>
    <w:rsid w:val="00D7787C"/>
    <w:rsid w:val="00D82361"/>
    <w:rsid w:val="00D87170"/>
    <w:rsid w:val="00D940AF"/>
    <w:rsid w:val="00D97007"/>
    <w:rsid w:val="00DA28B2"/>
    <w:rsid w:val="00DA7797"/>
    <w:rsid w:val="00DB1EAE"/>
    <w:rsid w:val="00DC4CBD"/>
    <w:rsid w:val="00DD19CC"/>
    <w:rsid w:val="00DD7F38"/>
    <w:rsid w:val="00DE633E"/>
    <w:rsid w:val="00DF7AFD"/>
    <w:rsid w:val="00E03D2F"/>
    <w:rsid w:val="00E06161"/>
    <w:rsid w:val="00E141DA"/>
    <w:rsid w:val="00E21176"/>
    <w:rsid w:val="00E24C2B"/>
    <w:rsid w:val="00E312D5"/>
    <w:rsid w:val="00E32EED"/>
    <w:rsid w:val="00E40D59"/>
    <w:rsid w:val="00E43FDD"/>
    <w:rsid w:val="00E6295F"/>
    <w:rsid w:val="00E6754A"/>
    <w:rsid w:val="00E773DC"/>
    <w:rsid w:val="00E777B4"/>
    <w:rsid w:val="00E97628"/>
    <w:rsid w:val="00EA4106"/>
    <w:rsid w:val="00EB140F"/>
    <w:rsid w:val="00EB7620"/>
    <w:rsid w:val="00EB7A88"/>
    <w:rsid w:val="00EC0BCD"/>
    <w:rsid w:val="00EC6570"/>
    <w:rsid w:val="00EC6E30"/>
    <w:rsid w:val="00ED5676"/>
    <w:rsid w:val="00ED7EF7"/>
    <w:rsid w:val="00EE7599"/>
    <w:rsid w:val="00EF14DF"/>
    <w:rsid w:val="00EF5E0A"/>
    <w:rsid w:val="00F066EC"/>
    <w:rsid w:val="00F21EFC"/>
    <w:rsid w:val="00F231F7"/>
    <w:rsid w:val="00F2612E"/>
    <w:rsid w:val="00F27700"/>
    <w:rsid w:val="00F309C1"/>
    <w:rsid w:val="00F43F82"/>
    <w:rsid w:val="00F54882"/>
    <w:rsid w:val="00F61E32"/>
    <w:rsid w:val="00F67496"/>
    <w:rsid w:val="00F7755F"/>
    <w:rsid w:val="00F87B02"/>
    <w:rsid w:val="00F96A5D"/>
    <w:rsid w:val="00FC59C5"/>
    <w:rsid w:val="00FD433D"/>
    <w:rsid w:val="096B1B3E"/>
    <w:rsid w:val="12024DD8"/>
    <w:rsid w:val="16225917"/>
    <w:rsid w:val="17497B59"/>
    <w:rsid w:val="1CF7137D"/>
    <w:rsid w:val="298607E7"/>
    <w:rsid w:val="2F975267"/>
    <w:rsid w:val="33354BCE"/>
    <w:rsid w:val="3A5C65D7"/>
    <w:rsid w:val="42031418"/>
    <w:rsid w:val="539A4AC7"/>
    <w:rsid w:val="59416274"/>
    <w:rsid w:val="5F8B7867"/>
    <w:rsid w:val="604310ED"/>
    <w:rsid w:val="69381C7D"/>
    <w:rsid w:val="6D086606"/>
    <w:rsid w:val="718204F7"/>
    <w:rsid w:val="72837D35"/>
    <w:rsid w:val="7BFF73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9" Type="http://schemas.openxmlformats.org/officeDocument/2006/relationships/customXml" Target="../customXml/item4.xml"/><Relationship Id="rId8" Type="http://schemas.openxmlformats.org/officeDocument/2006/relationships/customXml" Target="../customXml/item3.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Document" ma:contentTypeID="0x0101002073062A300E6E449F516335DDC57058" ma:contentTypeVersion="1" ma:contentTypeDescription="Create a new document." ma:contentTypeScope="" ma:versionID="f476f6b9a7fd1c1ed7d7494a8e435539">
  <xsd:schema xmlns:xsd="http://www.w3.org/2001/XMLSchema" xmlns:xs="http://www.w3.org/2001/XMLSchema" xmlns:p="http://schemas.microsoft.com/office/2006/metadata/properties" xmlns:ns2="b5b62c72-33df-4a29-a921-fd6957cdfc41" targetNamespace="http://schemas.microsoft.com/office/2006/metadata/properties" ma:root="true" ma:fieldsID="e753f59da4223d80817749df90d02c34" ns2:_="">
    <xsd:import namespace="b5b62c72-33df-4a29-a921-fd6957cdfc41"/>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b62c72-33df-4a29-a921-fd6957cdfc41"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永久 ID" ma:description="在添加过程中保留 ID。" ma:hidden="true" ma:internalName="_dlc_DocIdPersistId" ma:readOnly="true">
      <xsd:simpleType>
        <xsd:restriction base="dms:Boolean"/>
      </xsd:simpleType>
    </xsd:element>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dlc_DocId xmlns="b5b62c72-33df-4a29-a921-fd6957cdfc41">HUDSTA2DJPP3-460479290-142</_dlc_DocId>
    <_dlc_DocIdUrl xmlns="b5b62c72-33df-4a29-a921-fd6957cdfc41">
      <Url>https://sp16.cuhk.edu.cn/eamo/_layouts/15/DocIdRedir.aspx?ID=HUDSTA2DJPP3-460479290-142</Url>
      <Description>HUDSTA2DJPP3-460479290-142</Description>
    </_dlc_DocIdUrl>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53747CD-9C05-48E7-9F50-4DF7DDC1A3E0}">
  <ds:schemaRefs/>
</ds:datastoreItem>
</file>

<file path=customXml/itemProps2.xml><?xml version="1.0" encoding="utf-8"?>
<ds:datastoreItem xmlns:ds="http://schemas.openxmlformats.org/officeDocument/2006/customXml" ds:itemID="{097F01AA-1353-4BB4-81DE-C6E332E4FE83}">
  <ds:schemaRefs/>
</ds:datastoreItem>
</file>

<file path=customXml/itemProps3.xml><?xml version="1.0" encoding="utf-8"?>
<ds:datastoreItem xmlns:ds="http://schemas.openxmlformats.org/officeDocument/2006/customXml" ds:itemID="{750E6BD5-F17D-4550-B0D1-8EF9D07846BE}">
  <ds:schemaRefs/>
</ds:datastoreItem>
</file>

<file path=customXml/itemProps4.xml><?xml version="1.0" encoding="utf-8"?>
<ds:datastoreItem xmlns:ds="http://schemas.openxmlformats.org/officeDocument/2006/customXml" ds:itemID="{093C0C87-6ED7-4C54-B4AB-FD04431DDFD4}">
  <ds:schemaRefs/>
</ds:datastoreItem>
</file>

<file path=customXml/itemProps5.xml><?xml version="1.0" encoding="utf-8"?>
<ds:datastoreItem xmlns:ds="http://schemas.openxmlformats.org/officeDocument/2006/customXml" ds:itemID="{073282CB-B586-4F44-BB48-B5CCCCBBB2FC}">
  <ds:schemaRefs/>
</ds:datastoreItem>
</file>